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5A" w:rsidRDefault="00001FAE" w:rsidP="00794DD8">
      <w:pPr>
        <w:pStyle w:val="Addres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4637405</wp:posOffset>
                </wp:positionH>
                <wp:positionV relativeFrom="paragraph">
                  <wp:posOffset>-359409</wp:posOffset>
                </wp:positionV>
                <wp:extent cx="202882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28825" cy="323850"/>
                        </a:xfrm>
                        <a:prstGeom prst="rect">
                          <a:avLst/>
                        </a:prstGeom>
                        <a:solidFill>
                          <a:schemeClr val="lt1"/>
                        </a:solidFill>
                        <a:ln w="6350">
                          <a:noFill/>
                        </a:ln>
                      </wps:spPr>
                      <wps:txbx>
                        <w:txbxContent>
                          <w:p w:rsidR="00001FAE" w:rsidRPr="00001FAE" w:rsidRDefault="00001FAE">
                            <w:pPr>
                              <w:rPr>
                                <w:rFonts w:ascii="Arial" w:hAnsi="Arial" w:cs="Arial"/>
                              </w:rPr>
                            </w:pPr>
                            <w:r>
                              <w:rPr>
                                <w:rFonts w:ascii="Arial" w:hAnsi="Arial" w:cs="Arial"/>
                              </w:rPr>
                              <w:t>Doc Ref 6.10.</w:t>
                            </w:r>
                            <w:r w:rsidRPr="00001FAE">
                              <w:rPr>
                                <w:rFonts w:ascii="Arial" w:hAnsi="Arial" w:cs="Arial"/>
                              </w:rPr>
                              <w:t>O App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15pt;margin-top:-28.3pt;width:159.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" fillcolor="white [3201]" stroked="f" strokeweight=".5pt">
                <v:textbox>
                  <w:txbxContent>
                    <w:p w:rsidR="00001FAE" w:rsidRPr="00001FAE" w:rsidRDefault="00001FAE">
                      <w:pPr>
                        <w:rPr>
                          <w:rFonts w:ascii="Arial" w:hAnsi="Arial" w:cs="Arial"/>
                        </w:rPr>
                      </w:pPr>
                      <w:r>
                        <w:rPr>
                          <w:rFonts w:ascii="Arial" w:hAnsi="Arial" w:cs="Arial"/>
                        </w:rPr>
                        <w:t>Doc Ref 6.10.</w:t>
                      </w:r>
                      <w:r w:rsidRPr="00001FAE">
                        <w:rPr>
                          <w:rFonts w:ascii="Arial" w:hAnsi="Arial" w:cs="Arial"/>
                        </w:rPr>
                        <w:t>O App 1</w:t>
                      </w:r>
                    </w:p>
                  </w:txbxContent>
                </v:textbox>
              </v:shape>
            </w:pict>
          </mc:Fallback>
        </mc:AlternateContent>
      </w:r>
    </w:p>
    <w:p w:rsidR="0030625A" w:rsidRDefault="0030625A" w:rsidP="00794DD8">
      <w:pPr>
        <w:pStyle w:val="Address"/>
      </w:pPr>
    </w:p>
    <w:p w:rsidR="0030625A" w:rsidRDefault="0030625A" w:rsidP="00794DD8">
      <w:pPr>
        <w:pStyle w:val="Address"/>
      </w:pPr>
      <w:bookmarkStart w:id="0" w:name="_GoBack"/>
      <w:bookmarkEnd w:id="0"/>
    </w:p>
    <w:p w:rsidR="0030625A" w:rsidRDefault="0030625A" w:rsidP="00794DD8">
      <w:pPr>
        <w:pStyle w:val="Address"/>
      </w:pPr>
    </w:p>
    <w:p w:rsidR="0030625A" w:rsidRDefault="0030625A" w:rsidP="00794DD8">
      <w:pPr>
        <w:pStyle w:val="Address"/>
      </w:pPr>
    </w:p>
    <w:p w:rsidR="0030625A" w:rsidRDefault="0030625A" w:rsidP="00794DD8">
      <w:pPr>
        <w:pStyle w:val="Address"/>
      </w:pPr>
    </w:p>
    <w:p w:rsidR="0030625A" w:rsidRDefault="0030625A" w:rsidP="00794DD8">
      <w:pPr>
        <w:pStyle w:val="Address"/>
      </w:pPr>
    </w:p>
    <w:p w:rsidR="00C022EE" w:rsidRPr="0037246E" w:rsidRDefault="00C022EE" w:rsidP="00C022EE">
      <w:pPr>
        <w:rPr>
          <w:rFonts w:ascii="Arial" w:hAnsi="Arial" w:cs="Arial"/>
          <w:sz w:val="22"/>
          <w:szCs w:val="22"/>
        </w:rPr>
      </w:pPr>
    </w:p>
    <w:tbl>
      <w:tblPr>
        <w:tblW w:w="9436" w:type="dxa"/>
        <w:tblInd w:w="-108" w:type="dxa"/>
        <w:tblBorders>
          <w:top w:val="nil"/>
          <w:left w:val="nil"/>
          <w:bottom w:val="nil"/>
          <w:right w:val="nil"/>
        </w:tblBorders>
        <w:tblLayout w:type="fixed"/>
        <w:tblLook w:val="0000" w:firstRow="0" w:lastRow="0" w:firstColumn="0" w:lastColumn="0" w:noHBand="0" w:noVBand="0"/>
      </w:tblPr>
      <w:tblGrid>
        <w:gridCol w:w="9436"/>
      </w:tblGrid>
      <w:tr w:rsidR="00C022EE" w:rsidRPr="0037246E" w:rsidTr="000371C3">
        <w:trPr>
          <w:trHeight w:val="103"/>
        </w:trPr>
        <w:tc>
          <w:tcPr>
            <w:tcW w:w="9436" w:type="dxa"/>
          </w:tcPr>
          <w:p w:rsidR="00C022EE" w:rsidRPr="0037246E" w:rsidRDefault="00C022EE" w:rsidP="000371C3">
            <w:pPr>
              <w:autoSpaceDE w:val="0"/>
              <w:autoSpaceDN w:val="0"/>
              <w:adjustRightInd w:val="0"/>
              <w:rPr>
                <w:rFonts w:ascii="Arial" w:hAnsi="Arial" w:cs="Arial"/>
                <w:sz w:val="22"/>
                <w:szCs w:val="22"/>
              </w:rPr>
            </w:pPr>
          </w:p>
          <w:p w:rsidR="00C022EE" w:rsidRPr="00C022EE" w:rsidRDefault="00C022EE" w:rsidP="000371C3">
            <w:pPr>
              <w:autoSpaceDE w:val="0"/>
              <w:autoSpaceDN w:val="0"/>
              <w:adjustRightInd w:val="0"/>
              <w:jc w:val="center"/>
              <w:rPr>
                <w:rFonts w:ascii="Arial" w:hAnsi="Arial" w:cs="Arial"/>
                <w:b/>
                <w:bCs/>
                <w:sz w:val="28"/>
                <w:szCs w:val="28"/>
              </w:rPr>
            </w:pPr>
            <w:r w:rsidRPr="00C022EE">
              <w:rPr>
                <w:rFonts w:ascii="Arial" w:hAnsi="Arial" w:cs="Arial"/>
                <w:b/>
                <w:bCs/>
                <w:sz w:val="28"/>
                <w:szCs w:val="28"/>
              </w:rPr>
              <w:t>Annual Statement of Legal Compliance to Warwick SU Trustee Board</w:t>
            </w:r>
          </w:p>
          <w:p w:rsidR="00C022EE" w:rsidRPr="00C022EE" w:rsidRDefault="003435D7" w:rsidP="000371C3">
            <w:pPr>
              <w:autoSpaceDE w:val="0"/>
              <w:autoSpaceDN w:val="0"/>
              <w:adjustRightInd w:val="0"/>
              <w:jc w:val="center"/>
              <w:rPr>
                <w:rFonts w:ascii="Arial" w:eastAsia="Franklin Gothic Book" w:hAnsi="Arial" w:cs="Arial"/>
                <w:b/>
                <w:bCs/>
                <w:sz w:val="28"/>
                <w:szCs w:val="28"/>
              </w:rPr>
            </w:pPr>
            <w:r>
              <w:rPr>
                <w:rFonts w:ascii="Arial" w:eastAsia="Franklin Gothic Book" w:hAnsi="Arial" w:cs="Arial"/>
                <w:b/>
                <w:bCs/>
                <w:sz w:val="28"/>
                <w:szCs w:val="28"/>
              </w:rPr>
              <w:t>2018</w:t>
            </w:r>
            <w:r w:rsidR="00C022EE" w:rsidRPr="00C022EE">
              <w:rPr>
                <w:rFonts w:ascii="Arial" w:eastAsia="Franklin Gothic Book,Arial" w:hAnsi="Arial" w:cs="Arial"/>
                <w:b/>
                <w:bCs/>
                <w:sz w:val="28"/>
                <w:szCs w:val="28"/>
              </w:rPr>
              <w:t>/</w:t>
            </w:r>
            <w:r w:rsidR="00C022EE" w:rsidRPr="00C022EE">
              <w:rPr>
                <w:rFonts w:ascii="Arial" w:eastAsia="Franklin Gothic Book" w:hAnsi="Arial" w:cs="Arial"/>
                <w:b/>
                <w:bCs/>
                <w:sz w:val="28"/>
                <w:szCs w:val="28"/>
              </w:rPr>
              <w:t>201</w:t>
            </w:r>
            <w:r>
              <w:rPr>
                <w:rFonts w:ascii="Arial" w:eastAsia="Franklin Gothic Book" w:hAnsi="Arial" w:cs="Arial"/>
                <w:b/>
                <w:bCs/>
                <w:sz w:val="28"/>
                <w:szCs w:val="28"/>
              </w:rPr>
              <w:t>9</w:t>
            </w:r>
          </w:p>
          <w:p w:rsidR="00C022EE" w:rsidRPr="0037246E" w:rsidRDefault="00C022EE" w:rsidP="000371C3">
            <w:pPr>
              <w:autoSpaceDE w:val="0"/>
              <w:autoSpaceDN w:val="0"/>
              <w:adjustRightInd w:val="0"/>
              <w:rPr>
                <w:rFonts w:ascii="Arial" w:hAnsi="Arial" w:cs="Arial"/>
                <w:sz w:val="22"/>
                <w:szCs w:val="22"/>
              </w:rPr>
            </w:pPr>
          </w:p>
        </w:tc>
      </w:tr>
      <w:tr w:rsidR="00C022EE" w:rsidRPr="0037246E" w:rsidTr="000371C3">
        <w:trPr>
          <w:trHeight w:val="1817"/>
        </w:trPr>
        <w:tc>
          <w:tcPr>
            <w:tcW w:w="9436" w:type="dxa"/>
          </w:tcPr>
          <w:p w:rsidR="00C022EE" w:rsidRPr="0037246E" w:rsidRDefault="00C022EE" w:rsidP="000371C3">
            <w:pPr>
              <w:autoSpaceDE w:val="0"/>
              <w:autoSpaceDN w:val="0"/>
              <w:adjustRightInd w:val="0"/>
              <w:rPr>
                <w:rFonts w:ascii="Arial" w:hAnsi="Arial" w:cs="Arial"/>
                <w:sz w:val="22"/>
                <w:szCs w:val="22"/>
              </w:rPr>
            </w:pPr>
            <w:r w:rsidRPr="0037246E">
              <w:rPr>
                <w:rFonts w:ascii="Arial" w:hAnsi="Arial" w:cs="Arial"/>
                <w:sz w:val="22"/>
                <w:szCs w:val="22"/>
              </w:rPr>
              <w:t xml:space="preserve">The Chief Executive has ensured that the organisation has applied its processes and internal systems of control in a manner that gives satisfaction, to the extent that it is possible to do so from the facts and matters available, so that: </w:t>
            </w:r>
            <w:r w:rsidRPr="0037246E">
              <w:rPr>
                <w:rFonts w:ascii="Arial" w:hAnsi="Arial" w:cs="Arial"/>
                <w:sz w:val="22"/>
                <w:szCs w:val="22"/>
              </w:rPr>
              <w:br/>
            </w:r>
          </w:p>
          <w:p w:rsidR="00C022EE" w:rsidRPr="0037246E" w:rsidRDefault="00C022EE" w:rsidP="000371C3">
            <w:pPr>
              <w:pStyle w:val="ListParagraph"/>
              <w:numPr>
                <w:ilvl w:val="0"/>
                <w:numId w:val="1"/>
              </w:numPr>
              <w:autoSpaceDE w:val="0"/>
              <w:autoSpaceDN w:val="0"/>
              <w:adjustRightInd w:val="0"/>
              <w:spacing w:after="0" w:line="240" w:lineRule="auto"/>
              <w:rPr>
                <w:rFonts w:ascii="Arial" w:eastAsia="Franklin Gothic Book,Arial" w:hAnsi="Arial" w:cs="Arial"/>
              </w:rPr>
            </w:pPr>
            <w:r w:rsidRPr="0037246E">
              <w:rPr>
                <w:rFonts w:ascii="Arial" w:eastAsia="Franklin Gothic Book" w:hAnsi="Arial" w:cs="Arial"/>
              </w:rPr>
              <w:t xml:space="preserve">The organisation has sufficient understanding of its relevant statutory and </w:t>
            </w:r>
            <w:r w:rsidR="003435D7">
              <w:rPr>
                <w:rFonts w:ascii="Arial" w:eastAsia="Franklin Gothic Book" w:hAnsi="Arial" w:cs="Arial"/>
              </w:rPr>
              <w:t>contractual obligations for 2018</w:t>
            </w:r>
            <w:r w:rsidRPr="0037246E">
              <w:rPr>
                <w:rFonts w:ascii="Arial" w:eastAsia="Franklin Gothic Book" w:hAnsi="Arial" w:cs="Arial"/>
              </w:rPr>
              <w:t>/1</w:t>
            </w:r>
            <w:r w:rsidR="003435D7">
              <w:rPr>
                <w:rFonts w:ascii="Arial" w:eastAsia="Franklin Gothic Book" w:hAnsi="Arial" w:cs="Arial"/>
              </w:rPr>
              <w:t>9</w:t>
            </w:r>
            <w:r w:rsidRPr="0037246E">
              <w:rPr>
                <w:rFonts w:ascii="Arial" w:eastAsia="Franklin Gothic Book,Arial" w:hAnsi="Arial" w:cs="Arial"/>
              </w:rPr>
              <w:t>;</w:t>
            </w:r>
          </w:p>
          <w:p w:rsidR="00C022EE" w:rsidRPr="0037246E" w:rsidRDefault="00C022EE" w:rsidP="000371C3">
            <w:pPr>
              <w:pStyle w:val="ListParagraph"/>
              <w:numPr>
                <w:ilvl w:val="0"/>
                <w:numId w:val="1"/>
              </w:numPr>
              <w:autoSpaceDE w:val="0"/>
              <w:autoSpaceDN w:val="0"/>
              <w:adjustRightInd w:val="0"/>
              <w:spacing w:after="0" w:line="240" w:lineRule="auto"/>
              <w:rPr>
                <w:rFonts w:ascii="Arial" w:hAnsi="Arial" w:cs="Arial"/>
              </w:rPr>
            </w:pPr>
            <w:r w:rsidRPr="0037246E">
              <w:rPr>
                <w:rFonts w:ascii="Arial" w:hAnsi="Arial" w:cs="Arial"/>
              </w:rPr>
              <w:t>Member’s expectations are being met through monitoring of performance targets, measures and outputs;</w:t>
            </w:r>
          </w:p>
          <w:p w:rsidR="00C022EE" w:rsidRPr="0037246E" w:rsidRDefault="00C022EE" w:rsidP="000371C3">
            <w:pPr>
              <w:pStyle w:val="ListParagraph"/>
              <w:numPr>
                <w:ilvl w:val="0"/>
                <w:numId w:val="1"/>
              </w:numPr>
              <w:autoSpaceDE w:val="0"/>
              <w:autoSpaceDN w:val="0"/>
              <w:adjustRightInd w:val="0"/>
              <w:spacing w:after="0" w:line="240" w:lineRule="auto"/>
              <w:rPr>
                <w:rFonts w:ascii="Arial" w:eastAsia="Franklin Gothic Book,Arial" w:hAnsi="Arial" w:cs="Arial"/>
              </w:rPr>
            </w:pPr>
            <w:r w:rsidRPr="0037246E">
              <w:rPr>
                <w:rFonts w:ascii="Arial" w:eastAsia="Franklin Gothic Book" w:hAnsi="Arial" w:cs="Arial"/>
              </w:rPr>
              <w:t>There are sufficient processes and internal systems of control in place to enable Warwick SU to deliver its services to members and meet its relevant statutor</w:t>
            </w:r>
            <w:r w:rsidR="003435D7">
              <w:rPr>
                <w:rFonts w:ascii="Arial" w:eastAsia="Franklin Gothic Book" w:hAnsi="Arial" w:cs="Arial"/>
              </w:rPr>
              <w:t>y and legal obligations for 2018</w:t>
            </w:r>
            <w:r w:rsidRPr="0037246E">
              <w:rPr>
                <w:rFonts w:ascii="Arial" w:eastAsia="Franklin Gothic Book" w:hAnsi="Arial" w:cs="Arial"/>
              </w:rPr>
              <w:t>/1</w:t>
            </w:r>
            <w:r w:rsidR="003435D7">
              <w:rPr>
                <w:rFonts w:ascii="Arial" w:eastAsia="Franklin Gothic Book" w:hAnsi="Arial" w:cs="Arial"/>
              </w:rPr>
              <w:t>9</w:t>
            </w:r>
            <w:r w:rsidRPr="0037246E">
              <w:rPr>
                <w:rFonts w:ascii="Arial" w:eastAsia="Franklin Gothic Book,Arial" w:hAnsi="Arial" w:cs="Arial"/>
              </w:rPr>
              <w:t>;</w:t>
            </w:r>
          </w:p>
          <w:p w:rsidR="00C022EE" w:rsidRPr="0037246E" w:rsidRDefault="00C022EE" w:rsidP="000371C3">
            <w:pPr>
              <w:pStyle w:val="ListParagraph"/>
              <w:numPr>
                <w:ilvl w:val="0"/>
                <w:numId w:val="1"/>
              </w:numPr>
              <w:autoSpaceDE w:val="0"/>
              <w:autoSpaceDN w:val="0"/>
              <w:adjustRightInd w:val="0"/>
              <w:spacing w:after="0" w:line="240" w:lineRule="auto"/>
              <w:rPr>
                <w:rFonts w:ascii="Arial" w:hAnsi="Arial" w:cs="Arial"/>
              </w:rPr>
            </w:pPr>
            <w:r w:rsidRPr="0037246E">
              <w:rPr>
                <w:rFonts w:ascii="Arial" w:hAnsi="Arial" w:cs="Arial"/>
              </w:rPr>
              <w:t>Appropriate systems and processes are in place to allow Warwick SU to identify, manage and review its risks.</w:t>
            </w:r>
          </w:p>
          <w:p w:rsidR="00C022EE" w:rsidRPr="0037246E" w:rsidRDefault="00C022EE" w:rsidP="000371C3">
            <w:pPr>
              <w:autoSpaceDE w:val="0"/>
              <w:autoSpaceDN w:val="0"/>
              <w:adjustRightInd w:val="0"/>
              <w:rPr>
                <w:rFonts w:ascii="Arial" w:hAnsi="Arial" w:cs="Arial"/>
                <w:sz w:val="22"/>
                <w:szCs w:val="22"/>
              </w:rPr>
            </w:pPr>
          </w:p>
        </w:tc>
      </w:tr>
    </w:tbl>
    <w:p w:rsidR="00C022EE" w:rsidRPr="0037246E" w:rsidRDefault="00C022EE" w:rsidP="00C022EE">
      <w:pPr>
        <w:rPr>
          <w:rFonts w:ascii="Arial" w:hAnsi="Arial" w:cs="Arial"/>
          <w:sz w:val="22"/>
          <w:szCs w:val="22"/>
        </w:rPr>
      </w:pPr>
      <w:r w:rsidRPr="0037246E">
        <w:rPr>
          <w:rFonts w:ascii="Arial" w:hAnsi="Arial" w:cs="Arial"/>
          <w:sz w:val="22"/>
          <w:szCs w:val="22"/>
        </w:rPr>
        <w:t>In particular, confirmation can be given on the following:</w:t>
      </w:r>
      <w:r w:rsidR="00F948FB">
        <w:rPr>
          <w:rFonts w:ascii="Arial" w:hAnsi="Arial" w:cs="Arial"/>
          <w:sz w:val="22"/>
          <w:szCs w:val="22"/>
        </w:rPr>
        <w:br/>
      </w:r>
    </w:p>
    <w:tbl>
      <w:tblPr>
        <w:tblStyle w:val="TableGrid"/>
        <w:tblW w:w="10682" w:type="dxa"/>
        <w:tblLayout w:type="fixed"/>
        <w:tblLook w:val="04A0" w:firstRow="1" w:lastRow="0" w:firstColumn="1" w:lastColumn="0" w:noHBand="0" w:noVBand="1"/>
      </w:tblPr>
      <w:tblGrid>
        <w:gridCol w:w="3284"/>
        <w:gridCol w:w="5046"/>
        <w:gridCol w:w="2352"/>
      </w:tblGrid>
      <w:tr w:rsidR="00C022EE" w:rsidRPr="0037246E" w:rsidTr="00C54C1D">
        <w:tc>
          <w:tcPr>
            <w:tcW w:w="3284" w:type="dxa"/>
            <w:shd w:val="clear" w:color="auto" w:fill="D9D9D9" w:themeFill="background1" w:themeFillShade="D9"/>
          </w:tcPr>
          <w:p w:rsidR="00C022EE" w:rsidRPr="0037246E" w:rsidRDefault="00C022EE" w:rsidP="000371C3">
            <w:pPr>
              <w:jc w:val="center"/>
              <w:rPr>
                <w:rFonts w:ascii="Arial" w:hAnsi="Arial" w:cs="Arial"/>
                <w:sz w:val="22"/>
                <w:szCs w:val="22"/>
              </w:rPr>
            </w:pPr>
            <w:r w:rsidRPr="0037246E">
              <w:rPr>
                <w:rFonts w:ascii="Arial" w:hAnsi="Arial" w:cs="Arial"/>
                <w:sz w:val="22"/>
                <w:szCs w:val="22"/>
              </w:rPr>
              <w:t>Requirement</w:t>
            </w:r>
          </w:p>
        </w:tc>
        <w:tc>
          <w:tcPr>
            <w:tcW w:w="5046" w:type="dxa"/>
            <w:shd w:val="clear" w:color="auto" w:fill="D9D9D9" w:themeFill="background1" w:themeFillShade="D9"/>
          </w:tcPr>
          <w:p w:rsidR="00C022EE" w:rsidRPr="0037246E" w:rsidRDefault="00C022EE" w:rsidP="000371C3">
            <w:pPr>
              <w:jc w:val="center"/>
              <w:rPr>
                <w:rFonts w:ascii="Arial" w:hAnsi="Arial" w:cs="Arial"/>
                <w:sz w:val="22"/>
                <w:szCs w:val="22"/>
              </w:rPr>
            </w:pPr>
            <w:r w:rsidRPr="0037246E">
              <w:rPr>
                <w:rFonts w:ascii="Arial" w:hAnsi="Arial" w:cs="Arial"/>
                <w:sz w:val="22"/>
                <w:szCs w:val="22"/>
              </w:rPr>
              <w:t>Check</w:t>
            </w:r>
          </w:p>
        </w:tc>
        <w:tc>
          <w:tcPr>
            <w:tcW w:w="2352" w:type="dxa"/>
            <w:shd w:val="clear" w:color="auto" w:fill="D9D9D9" w:themeFill="background1" w:themeFillShade="D9"/>
          </w:tcPr>
          <w:p w:rsidR="00C022EE" w:rsidRPr="0037246E" w:rsidRDefault="00C022EE" w:rsidP="000371C3">
            <w:pPr>
              <w:jc w:val="center"/>
              <w:rPr>
                <w:rFonts w:ascii="Arial" w:hAnsi="Arial" w:cs="Arial"/>
                <w:sz w:val="22"/>
                <w:szCs w:val="22"/>
              </w:rPr>
            </w:pPr>
            <w:r w:rsidRPr="0037246E">
              <w:rPr>
                <w:rFonts w:ascii="Arial" w:hAnsi="Arial" w:cs="Arial"/>
                <w:sz w:val="22"/>
                <w:szCs w:val="22"/>
              </w:rPr>
              <w:t>Confirmed by</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Charity Commission Requirements</w:t>
            </w:r>
          </w:p>
        </w:tc>
        <w:tc>
          <w:tcPr>
            <w:tcW w:w="5046" w:type="dxa"/>
          </w:tcPr>
          <w:p w:rsidR="00C022EE" w:rsidRPr="0037246E" w:rsidRDefault="00C022EE" w:rsidP="00C022EE">
            <w:pPr>
              <w:pStyle w:val="ListParagraph"/>
              <w:numPr>
                <w:ilvl w:val="0"/>
                <w:numId w:val="2"/>
              </w:numPr>
              <w:spacing w:after="0" w:line="240" w:lineRule="auto"/>
              <w:rPr>
                <w:rFonts w:ascii="Arial" w:eastAsia="Franklin Gothic Book" w:hAnsi="Arial" w:cs="Arial"/>
              </w:rPr>
            </w:pPr>
            <w:r w:rsidRPr="0037246E">
              <w:rPr>
                <w:rFonts w:ascii="Arial" w:eastAsia="Franklin Gothic Book" w:hAnsi="Arial" w:cs="Arial"/>
              </w:rPr>
              <w:t xml:space="preserve">Annual Report and Audited Accounts are compliant with the Statement of Recommended Practice (SORP) and </w:t>
            </w:r>
            <w:r w:rsidR="000371C3">
              <w:rPr>
                <w:rFonts w:ascii="Arial" w:eastAsia="Franklin Gothic Book" w:hAnsi="Arial" w:cs="Arial"/>
              </w:rPr>
              <w:t xml:space="preserve">have been </w:t>
            </w:r>
            <w:r w:rsidRPr="0037246E">
              <w:rPr>
                <w:rFonts w:ascii="Arial" w:eastAsia="Franklin Gothic Book" w:hAnsi="Arial" w:cs="Arial"/>
              </w:rPr>
              <w:t xml:space="preserve">submitted </w:t>
            </w:r>
            <w:r w:rsidR="000371C3">
              <w:rPr>
                <w:rFonts w:ascii="Arial" w:eastAsia="Franklin Gothic Book" w:hAnsi="Arial" w:cs="Arial"/>
              </w:rPr>
              <w:t xml:space="preserve">to the Charities Commission </w:t>
            </w:r>
            <w:r w:rsidR="003435D7">
              <w:rPr>
                <w:rFonts w:ascii="Arial" w:eastAsia="Franklin Gothic Book" w:hAnsi="Arial" w:cs="Arial"/>
              </w:rPr>
              <w:t>for 201</w:t>
            </w:r>
            <w:r w:rsidR="004431CA">
              <w:rPr>
                <w:rFonts w:ascii="Arial" w:eastAsia="Franklin Gothic Book" w:hAnsi="Arial" w:cs="Arial"/>
              </w:rPr>
              <w:t>7</w:t>
            </w:r>
            <w:r w:rsidRPr="0037246E">
              <w:rPr>
                <w:rFonts w:ascii="Arial" w:eastAsia="Franklin Gothic Book" w:hAnsi="Arial" w:cs="Arial"/>
              </w:rPr>
              <w:t>/1</w:t>
            </w:r>
            <w:r w:rsidR="004431CA">
              <w:rPr>
                <w:rFonts w:ascii="Arial" w:eastAsia="Franklin Gothic Book" w:hAnsi="Arial" w:cs="Arial"/>
              </w:rPr>
              <w:t>8</w:t>
            </w:r>
            <w:r w:rsidRPr="0037246E">
              <w:rPr>
                <w:rFonts w:ascii="Arial" w:eastAsia="Franklin Gothic Book" w:hAnsi="Arial" w:cs="Arial"/>
              </w:rPr>
              <w:t>.</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 xml:space="preserve">Statutory </w:t>
            </w:r>
            <w:r w:rsidR="000371C3">
              <w:rPr>
                <w:rFonts w:ascii="Arial" w:hAnsi="Arial" w:cs="Arial"/>
              </w:rPr>
              <w:t xml:space="preserve">Annual </w:t>
            </w:r>
            <w:r w:rsidRPr="0037246E">
              <w:rPr>
                <w:rFonts w:ascii="Arial" w:hAnsi="Arial" w:cs="Arial"/>
              </w:rPr>
              <w:t xml:space="preserve">Return </w:t>
            </w:r>
            <w:r w:rsidR="000371C3">
              <w:rPr>
                <w:rFonts w:ascii="Arial" w:hAnsi="Arial" w:cs="Arial"/>
              </w:rPr>
              <w:t>was submitted</w:t>
            </w:r>
            <w:r w:rsidRPr="0037246E">
              <w:rPr>
                <w:rFonts w:ascii="Arial" w:hAnsi="Arial" w:cs="Arial"/>
              </w:rPr>
              <w:t xml:space="preserve"> online </w:t>
            </w:r>
            <w:r w:rsidR="000371C3">
              <w:rPr>
                <w:rFonts w:ascii="Arial" w:hAnsi="Arial" w:cs="Arial"/>
              </w:rPr>
              <w:t>by the required deadline</w:t>
            </w:r>
            <w:r w:rsidRPr="0037246E">
              <w:rPr>
                <w:rFonts w:ascii="Arial" w:hAnsi="Arial" w:cs="Arial"/>
              </w:rPr>
              <w:t>.</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Organisation address and trustee details are kept up to date.</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Procedures are in place to ensure the charity’s funds are used only for purposes set out in the Constitution.</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An External Speakers Policy and procedures are in place and relevant staff</w:t>
            </w:r>
            <w:r w:rsidR="00381D60">
              <w:rPr>
                <w:rFonts w:ascii="Arial" w:hAnsi="Arial" w:cs="Arial"/>
              </w:rPr>
              <w:t>, trustees, volunteers and officers</w:t>
            </w:r>
            <w:r w:rsidRPr="0037246E">
              <w:rPr>
                <w:rFonts w:ascii="Arial" w:hAnsi="Arial" w:cs="Arial"/>
              </w:rPr>
              <w:t xml:space="preserve"> understand the need for these to be followed.</w:t>
            </w:r>
          </w:p>
          <w:p w:rsidR="00C022EE" w:rsidRDefault="00C022EE" w:rsidP="00C022EE">
            <w:pPr>
              <w:pStyle w:val="ListParagraph"/>
              <w:numPr>
                <w:ilvl w:val="0"/>
                <w:numId w:val="2"/>
              </w:numPr>
              <w:spacing w:after="0" w:line="240" w:lineRule="auto"/>
              <w:rPr>
                <w:rFonts w:ascii="Arial" w:hAnsi="Arial" w:cs="Arial"/>
              </w:rPr>
            </w:pPr>
            <w:r w:rsidRPr="0037246E">
              <w:rPr>
                <w:rFonts w:ascii="Arial" w:hAnsi="Arial" w:cs="Arial"/>
              </w:rPr>
              <w:t>Campaign activity undertaken is not party political in nature.</w:t>
            </w:r>
          </w:p>
          <w:p w:rsidR="00381D60" w:rsidRPr="0037246E" w:rsidRDefault="00381D60" w:rsidP="00C022EE">
            <w:pPr>
              <w:pStyle w:val="ListParagraph"/>
              <w:numPr>
                <w:ilvl w:val="0"/>
                <w:numId w:val="2"/>
              </w:numPr>
              <w:spacing w:after="0" w:line="240" w:lineRule="auto"/>
              <w:rPr>
                <w:rFonts w:ascii="Arial" w:hAnsi="Arial" w:cs="Arial"/>
              </w:rPr>
            </w:pPr>
            <w:r>
              <w:rPr>
                <w:rFonts w:ascii="Arial" w:hAnsi="Arial" w:cs="Arial"/>
              </w:rPr>
              <w:t>A policy is being drafted for reporting serious incidents to the Commission</w:t>
            </w:r>
          </w:p>
        </w:tc>
        <w:tc>
          <w:tcPr>
            <w:tcW w:w="2352" w:type="dxa"/>
          </w:tcPr>
          <w:p w:rsidR="00C022EE" w:rsidRPr="0037246E" w:rsidRDefault="00C022EE" w:rsidP="000371C3">
            <w:pPr>
              <w:pStyle w:val="ListParagraph"/>
              <w:rPr>
                <w:rFonts w:ascii="Arial" w:eastAsia="Franklin Gothic Book" w:hAnsi="Arial" w:cs="Arial"/>
              </w:rPr>
            </w:pPr>
            <w:r w:rsidRPr="0037246E">
              <w:rPr>
                <w:rFonts w:ascii="Arial" w:eastAsia="Franklin Gothic Book" w:hAnsi="Arial" w:cs="Arial"/>
              </w:rPr>
              <w:t>MC</w:t>
            </w: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r>
              <w:rPr>
                <w:rFonts w:ascii="Arial" w:eastAsiaTheme="minorEastAsia" w:hAnsi="Arial" w:cs="Arial"/>
                <w:color w:val="auto"/>
                <w:sz w:val="22"/>
                <w:szCs w:val="22"/>
                <w:lang w:eastAsia="zh-TW"/>
              </w:rPr>
              <w:br/>
            </w:r>
          </w:p>
          <w:p w:rsidR="00C022EE" w:rsidRPr="00C022EE" w:rsidRDefault="00C022EE" w:rsidP="00C022EE">
            <w:pPr>
              <w:pStyle w:val="ListParagraph"/>
              <w:rPr>
                <w:rFonts w:ascii="Arial" w:eastAsia="Franklin Gothic Book" w:hAnsi="Arial" w:cs="Arial"/>
              </w:rPr>
            </w:pPr>
            <w:r w:rsidRPr="0037246E">
              <w:rPr>
                <w:rFonts w:ascii="Arial" w:eastAsia="Franklin Gothic Book" w:hAnsi="Arial" w:cs="Arial"/>
              </w:rPr>
              <w:t>MC</w:t>
            </w:r>
            <w:r>
              <w:rPr>
                <w:rFonts w:ascii="Arial" w:eastAsia="Franklin Gothic Book" w:hAnsi="Arial" w:cs="Arial"/>
              </w:rPr>
              <w:br/>
            </w:r>
          </w:p>
          <w:p w:rsidR="00C022EE" w:rsidRPr="0037246E" w:rsidRDefault="00093AAA" w:rsidP="000371C3">
            <w:pPr>
              <w:pStyle w:val="ListParagraph"/>
              <w:rPr>
                <w:rFonts w:ascii="Arial" w:hAnsi="Arial" w:cs="Arial"/>
              </w:rPr>
            </w:pPr>
            <w:r>
              <w:rPr>
                <w:rFonts w:ascii="Arial" w:hAnsi="Arial" w:cs="Arial"/>
              </w:rPr>
              <w:t>MCC</w:t>
            </w:r>
          </w:p>
          <w:p w:rsidR="00C022EE" w:rsidRPr="0037246E" w:rsidRDefault="00C022EE" w:rsidP="000371C3">
            <w:pPr>
              <w:rPr>
                <w:rFonts w:ascii="Arial" w:hAnsi="Arial" w:cs="Arial"/>
                <w:sz w:val="22"/>
                <w:szCs w:val="22"/>
              </w:rPr>
            </w:pPr>
          </w:p>
          <w:p w:rsidR="00C022EE" w:rsidRPr="00C022EE" w:rsidRDefault="00C022EE" w:rsidP="00C022EE">
            <w:pPr>
              <w:pStyle w:val="ListParagraph"/>
              <w:rPr>
                <w:rFonts w:ascii="Arial" w:hAnsi="Arial" w:cs="Arial"/>
              </w:rPr>
            </w:pPr>
            <w:r w:rsidRPr="0037246E">
              <w:rPr>
                <w:rFonts w:ascii="Arial" w:hAnsi="Arial" w:cs="Arial"/>
              </w:rPr>
              <w:t>JC</w:t>
            </w:r>
          </w:p>
          <w:p w:rsidR="00C022EE" w:rsidRPr="0037246E" w:rsidRDefault="00C022EE" w:rsidP="000371C3">
            <w:pPr>
              <w:rPr>
                <w:rFonts w:ascii="Arial" w:hAnsi="Arial" w:cs="Arial"/>
                <w:sz w:val="22"/>
                <w:szCs w:val="22"/>
              </w:rPr>
            </w:pPr>
          </w:p>
          <w:p w:rsidR="00C022EE" w:rsidRPr="00C022EE" w:rsidRDefault="00C022EE" w:rsidP="00C022EE">
            <w:pPr>
              <w:pStyle w:val="ListParagraph"/>
              <w:rPr>
                <w:rFonts w:ascii="Arial" w:hAnsi="Arial" w:cs="Arial"/>
              </w:rPr>
            </w:pPr>
            <w:r w:rsidRPr="0037246E">
              <w:rPr>
                <w:rFonts w:ascii="Arial" w:hAnsi="Arial" w:cs="Arial"/>
              </w:rPr>
              <w:t>JC</w:t>
            </w:r>
          </w:p>
          <w:p w:rsidR="00C022EE" w:rsidRPr="0037246E" w:rsidRDefault="00C022EE" w:rsidP="000371C3">
            <w:pPr>
              <w:pStyle w:val="ListParagraph"/>
              <w:rPr>
                <w:rFonts w:ascii="Arial" w:hAnsi="Arial" w:cs="Arial"/>
              </w:rPr>
            </w:pPr>
          </w:p>
          <w:p w:rsidR="0072081B" w:rsidRDefault="00C022EE" w:rsidP="0072081B">
            <w:pPr>
              <w:pStyle w:val="ListParagraph"/>
              <w:rPr>
                <w:rFonts w:ascii="Arial" w:hAnsi="Arial" w:cs="Arial"/>
              </w:rPr>
            </w:pPr>
            <w:r w:rsidRPr="0037246E">
              <w:rPr>
                <w:rFonts w:ascii="Arial" w:hAnsi="Arial" w:cs="Arial"/>
              </w:rPr>
              <w:br/>
            </w:r>
          </w:p>
          <w:p w:rsidR="0072081B" w:rsidRDefault="0072081B" w:rsidP="0072081B">
            <w:pPr>
              <w:pStyle w:val="ListParagraph"/>
              <w:rPr>
                <w:rFonts w:ascii="Arial" w:hAnsi="Arial" w:cs="Arial"/>
              </w:rPr>
            </w:pPr>
          </w:p>
          <w:p w:rsidR="0072081B" w:rsidRPr="0072081B" w:rsidRDefault="00C022EE" w:rsidP="0072081B">
            <w:pPr>
              <w:pStyle w:val="ListParagraph"/>
              <w:rPr>
                <w:rFonts w:ascii="Arial" w:hAnsi="Arial" w:cs="Arial"/>
              </w:rPr>
            </w:pPr>
            <w:r w:rsidRPr="0072081B">
              <w:rPr>
                <w:rFonts w:ascii="Arial" w:hAnsi="Arial" w:cs="Arial"/>
              </w:rPr>
              <w:t>DD</w:t>
            </w:r>
          </w:p>
          <w:p w:rsidR="0072081B" w:rsidRDefault="0072081B" w:rsidP="0072081B">
            <w:pPr>
              <w:pStyle w:val="ListParagraph"/>
              <w:rPr>
                <w:rFonts w:ascii="Arial" w:hAnsi="Arial" w:cs="Arial"/>
              </w:rPr>
            </w:pPr>
          </w:p>
          <w:p w:rsidR="00381D60" w:rsidRPr="0072081B" w:rsidRDefault="00381D60" w:rsidP="0072081B">
            <w:pPr>
              <w:pStyle w:val="ListParagraph"/>
              <w:rPr>
                <w:rFonts w:ascii="Arial" w:hAnsi="Arial" w:cs="Arial"/>
              </w:rPr>
            </w:pPr>
            <w:r w:rsidRPr="0072081B">
              <w:rPr>
                <w:rFonts w:ascii="Arial" w:hAnsi="Arial" w:cs="Arial"/>
              </w:rPr>
              <w:t>JC</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Companies Act 2006</w:t>
            </w:r>
          </w:p>
        </w:tc>
        <w:tc>
          <w:tcPr>
            <w:tcW w:w="5046" w:type="dxa"/>
          </w:tcPr>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Checks are in place to ensure that directors/trustees are eligible to be appointed.</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Directors</w:t>
            </w:r>
            <w:r w:rsidR="00F948FB">
              <w:rPr>
                <w:rFonts w:ascii="Arial" w:hAnsi="Arial" w:cs="Arial"/>
              </w:rPr>
              <w:t>’</w:t>
            </w:r>
            <w:r w:rsidRPr="0037246E">
              <w:rPr>
                <w:rFonts w:ascii="Arial" w:hAnsi="Arial" w:cs="Arial"/>
              </w:rPr>
              <w:t xml:space="preserve"> appointments, contact details and resignations are notified to Companies House within 14 days</w:t>
            </w:r>
            <w:r w:rsidR="00F948FB">
              <w:rPr>
                <w:rFonts w:ascii="Arial" w:hAnsi="Arial" w:cs="Arial"/>
              </w:rPr>
              <w:t>.</w:t>
            </w:r>
          </w:p>
          <w:p w:rsidR="00C022EE" w:rsidRPr="00F948FB" w:rsidRDefault="00F948FB" w:rsidP="00F948FB">
            <w:pPr>
              <w:pStyle w:val="ListParagraph"/>
              <w:numPr>
                <w:ilvl w:val="0"/>
                <w:numId w:val="2"/>
              </w:numPr>
              <w:spacing w:after="0" w:line="240" w:lineRule="auto"/>
              <w:rPr>
                <w:rFonts w:ascii="Arial" w:hAnsi="Arial" w:cs="Arial"/>
              </w:rPr>
            </w:pPr>
            <w:r>
              <w:rPr>
                <w:rFonts w:ascii="Arial" w:hAnsi="Arial" w:cs="Arial"/>
              </w:rPr>
              <w:lastRenderedPageBreak/>
              <w:t xml:space="preserve">Auditors have been </w:t>
            </w:r>
            <w:r w:rsidR="00381D60">
              <w:rPr>
                <w:rFonts w:ascii="Arial" w:hAnsi="Arial" w:cs="Arial"/>
              </w:rPr>
              <w:t>reappointed following a competitive tender process in 2019</w:t>
            </w:r>
            <w:r>
              <w:rPr>
                <w:rFonts w:ascii="Arial" w:hAnsi="Arial" w:cs="Arial"/>
              </w:rPr>
              <w:t>.</w:t>
            </w:r>
          </w:p>
          <w:p w:rsidR="00C022EE" w:rsidRPr="0037246E" w:rsidRDefault="00C022EE" w:rsidP="00C022EE">
            <w:pPr>
              <w:pStyle w:val="ListParagraph"/>
              <w:numPr>
                <w:ilvl w:val="0"/>
                <w:numId w:val="2"/>
              </w:numPr>
              <w:spacing w:after="0" w:line="240" w:lineRule="auto"/>
              <w:rPr>
                <w:rFonts w:ascii="Arial" w:eastAsia="Franklin Gothic Book" w:hAnsi="Arial" w:cs="Arial"/>
              </w:rPr>
            </w:pPr>
            <w:r w:rsidRPr="0037246E">
              <w:rPr>
                <w:rFonts w:ascii="Arial" w:eastAsia="Franklin Gothic Book" w:hAnsi="Arial" w:cs="Arial"/>
              </w:rPr>
              <w:t>An annual report and accounts (</w:t>
            </w:r>
            <w:r w:rsidR="000371C3">
              <w:rPr>
                <w:rFonts w:ascii="Arial" w:eastAsia="Franklin Gothic Book" w:hAnsi="Arial" w:cs="Arial"/>
              </w:rPr>
              <w:t>201</w:t>
            </w:r>
            <w:r w:rsidR="003435D7">
              <w:rPr>
                <w:rFonts w:ascii="Arial" w:eastAsia="Franklin Gothic Book" w:hAnsi="Arial" w:cs="Arial"/>
              </w:rPr>
              <w:t>7</w:t>
            </w:r>
            <w:r w:rsidR="000371C3">
              <w:rPr>
                <w:rFonts w:ascii="Arial" w:eastAsia="Franklin Gothic Book" w:hAnsi="Arial" w:cs="Arial"/>
              </w:rPr>
              <w:t>/1</w:t>
            </w:r>
            <w:r w:rsidR="003435D7">
              <w:rPr>
                <w:rFonts w:ascii="Arial" w:eastAsia="Franklin Gothic Book" w:hAnsi="Arial" w:cs="Arial"/>
              </w:rPr>
              <w:t>8</w:t>
            </w:r>
            <w:r w:rsidRPr="0037246E">
              <w:rPr>
                <w:rFonts w:ascii="Arial" w:eastAsia="Franklin Gothic Book" w:hAnsi="Arial" w:cs="Arial"/>
              </w:rPr>
              <w:t>) have been prepared and presented to and approved by Directors.</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Directors meetings have been convened appropriately and minutes taken</w:t>
            </w:r>
            <w:r w:rsidR="00F948FB">
              <w:rPr>
                <w:rFonts w:ascii="Arial" w:hAnsi="Arial" w:cs="Arial"/>
              </w:rPr>
              <w:t>.</w:t>
            </w:r>
          </w:p>
          <w:p w:rsidR="00C022EE" w:rsidRPr="0037246E" w:rsidRDefault="00C022EE" w:rsidP="00C022EE">
            <w:pPr>
              <w:pStyle w:val="ListParagraph"/>
              <w:numPr>
                <w:ilvl w:val="0"/>
                <w:numId w:val="2"/>
              </w:numPr>
              <w:spacing w:after="0" w:line="240" w:lineRule="auto"/>
              <w:rPr>
                <w:rFonts w:ascii="Arial" w:hAnsi="Arial" w:cs="Arial"/>
              </w:rPr>
            </w:pPr>
            <w:r w:rsidRPr="0037246E">
              <w:rPr>
                <w:rFonts w:ascii="Arial" w:hAnsi="Arial" w:cs="Arial"/>
              </w:rPr>
              <w:t>Conflicts of Interest have been declared and recorded</w:t>
            </w:r>
            <w:r w:rsidR="00F948FB">
              <w:rPr>
                <w:rFonts w:ascii="Arial" w:hAnsi="Arial" w:cs="Arial"/>
              </w:rPr>
              <w:t>.</w:t>
            </w:r>
          </w:p>
        </w:tc>
        <w:tc>
          <w:tcPr>
            <w:tcW w:w="2352" w:type="dxa"/>
          </w:tcPr>
          <w:p w:rsidR="00C022EE" w:rsidRPr="0037246E" w:rsidRDefault="00093AAA" w:rsidP="000371C3">
            <w:pPr>
              <w:pStyle w:val="ListParagraph"/>
              <w:rPr>
                <w:rFonts w:ascii="Arial" w:hAnsi="Arial" w:cs="Arial"/>
              </w:rPr>
            </w:pPr>
            <w:r>
              <w:rPr>
                <w:rFonts w:ascii="Arial" w:hAnsi="Arial" w:cs="Arial"/>
              </w:rPr>
              <w:lastRenderedPageBreak/>
              <w:t>MCC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0371C3" w:rsidRDefault="00093AAA" w:rsidP="000371C3">
            <w:pPr>
              <w:pStyle w:val="ListParagraph"/>
              <w:rPr>
                <w:rFonts w:ascii="Arial" w:hAnsi="Arial" w:cs="Arial"/>
              </w:rPr>
            </w:pPr>
            <w:r>
              <w:rPr>
                <w:rFonts w:ascii="Arial" w:hAnsi="Arial" w:cs="Arial"/>
              </w:rPr>
              <w:t>MCC</w:t>
            </w:r>
            <w:r w:rsidR="000371C3">
              <w:rPr>
                <w:rFonts w:ascii="Arial" w:hAnsi="Arial" w:cs="Arial"/>
              </w:rPr>
              <w:br/>
            </w:r>
          </w:p>
          <w:p w:rsidR="0072081B" w:rsidRDefault="0072081B" w:rsidP="000371C3">
            <w:pPr>
              <w:pStyle w:val="ListParagraph"/>
              <w:rPr>
                <w:rFonts w:ascii="Arial" w:eastAsia="Franklin Gothic Book" w:hAnsi="Arial" w:cs="Arial"/>
              </w:rPr>
            </w:pPr>
          </w:p>
          <w:p w:rsidR="00C022EE" w:rsidRPr="0037246E" w:rsidRDefault="00C022EE" w:rsidP="000371C3">
            <w:pPr>
              <w:pStyle w:val="ListParagraph"/>
              <w:rPr>
                <w:rFonts w:ascii="Arial" w:eastAsia="Franklin Gothic Book" w:hAnsi="Arial" w:cs="Arial"/>
              </w:rPr>
            </w:pPr>
            <w:r w:rsidRPr="0037246E">
              <w:rPr>
                <w:rFonts w:ascii="Arial" w:eastAsia="Franklin Gothic Book" w:hAnsi="Arial" w:cs="Arial"/>
              </w:rPr>
              <w:lastRenderedPageBreak/>
              <w:t>MC</w:t>
            </w:r>
            <w:r w:rsidR="00F948FB">
              <w:rPr>
                <w:rFonts w:ascii="Arial" w:eastAsia="Franklin Gothic Book" w:hAnsi="Arial" w:cs="Arial"/>
              </w:rPr>
              <w:br/>
            </w:r>
          </w:p>
          <w:p w:rsidR="004C2EB8" w:rsidRDefault="00C022EE" w:rsidP="004C2EB8">
            <w:pPr>
              <w:rPr>
                <w:rFonts w:ascii="Arial" w:eastAsia="Franklin Gothic Book" w:hAnsi="Arial" w:cs="Arial"/>
                <w:sz w:val="22"/>
                <w:szCs w:val="22"/>
              </w:rPr>
            </w:pPr>
            <w:r>
              <w:rPr>
                <w:rFonts w:ascii="Arial" w:eastAsia="Franklin Gothic Book" w:hAnsi="Arial" w:cs="Arial"/>
                <w:sz w:val="22"/>
                <w:szCs w:val="22"/>
              </w:rPr>
              <w:t xml:space="preserve">            </w:t>
            </w:r>
            <w:r w:rsidR="004C2EB8">
              <w:rPr>
                <w:rFonts w:ascii="Arial" w:eastAsia="Franklin Gothic Book" w:hAnsi="Arial" w:cs="Arial"/>
                <w:sz w:val="22"/>
                <w:szCs w:val="22"/>
              </w:rPr>
              <w:t>MC</w:t>
            </w:r>
          </w:p>
          <w:p w:rsidR="004C2EB8" w:rsidRDefault="004C2EB8" w:rsidP="004C2EB8">
            <w:pPr>
              <w:rPr>
                <w:rFonts w:ascii="Arial" w:eastAsia="Franklin Gothic Book" w:hAnsi="Arial" w:cs="Arial"/>
              </w:rPr>
            </w:pPr>
          </w:p>
          <w:p w:rsidR="00C022EE" w:rsidRPr="004C2EB8" w:rsidRDefault="004C2EB8" w:rsidP="004C2EB8">
            <w:pPr>
              <w:rPr>
                <w:rFonts w:ascii="Arial" w:eastAsia="Franklin Gothic Book" w:hAnsi="Arial" w:cs="Arial"/>
                <w:sz w:val="22"/>
                <w:szCs w:val="22"/>
              </w:rPr>
            </w:pPr>
            <w:r>
              <w:rPr>
                <w:rFonts w:ascii="Arial" w:eastAsia="Franklin Gothic Book" w:hAnsi="Arial" w:cs="Arial"/>
              </w:rPr>
              <w:t xml:space="preserve">          </w:t>
            </w:r>
            <w:r w:rsidR="00093AAA" w:rsidRPr="004C2EB8">
              <w:rPr>
                <w:rFonts w:ascii="Arial" w:eastAsia="Franklin Gothic Book" w:hAnsi="Arial" w:cs="Arial"/>
              </w:rPr>
              <w:t>MCC</w:t>
            </w:r>
          </w:p>
          <w:p w:rsidR="00C022EE" w:rsidRPr="00C022EE" w:rsidRDefault="00C022EE" w:rsidP="00C022EE">
            <w:pPr>
              <w:rPr>
                <w:rFonts w:ascii="Arial" w:hAnsi="Arial" w:cs="Arial"/>
                <w:sz w:val="22"/>
                <w:szCs w:val="22"/>
              </w:rPr>
            </w:pPr>
          </w:p>
          <w:p w:rsidR="00381D60" w:rsidRPr="004C2EB8" w:rsidRDefault="00093AAA" w:rsidP="004C2EB8">
            <w:pPr>
              <w:pStyle w:val="ListParagraph"/>
              <w:rPr>
                <w:rFonts w:ascii="Arial" w:hAnsi="Arial" w:cs="Arial"/>
              </w:rPr>
            </w:pPr>
            <w:r>
              <w:rPr>
                <w:rFonts w:ascii="Arial" w:hAnsi="Arial" w:cs="Arial"/>
              </w:rPr>
              <w:t>MCC</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lastRenderedPageBreak/>
              <w:t>Health and Safety at Work etc. Act 1974</w:t>
            </w:r>
          </w:p>
          <w:p w:rsidR="00C022EE" w:rsidRPr="0037246E" w:rsidRDefault="00C022EE" w:rsidP="000371C3">
            <w:pPr>
              <w:rPr>
                <w:rFonts w:ascii="Arial" w:hAnsi="Arial" w:cs="Arial"/>
                <w:sz w:val="22"/>
                <w:szCs w:val="22"/>
              </w:rPr>
            </w:pPr>
            <w:r w:rsidRPr="0037246E">
              <w:rPr>
                <w:rFonts w:ascii="Arial" w:hAnsi="Arial" w:cs="Arial"/>
                <w:sz w:val="22"/>
                <w:szCs w:val="22"/>
              </w:rPr>
              <w:t>and</w:t>
            </w:r>
          </w:p>
          <w:p w:rsidR="00C022EE" w:rsidRPr="0037246E" w:rsidRDefault="00C022EE" w:rsidP="000371C3">
            <w:pPr>
              <w:rPr>
                <w:rFonts w:ascii="Arial" w:hAnsi="Arial" w:cs="Arial"/>
                <w:sz w:val="22"/>
                <w:szCs w:val="22"/>
              </w:rPr>
            </w:pPr>
            <w:r w:rsidRPr="0037246E">
              <w:rPr>
                <w:rFonts w:ascii="Arial" w:hAnsi="Arial" w:cs="Arial"/>
                <w:sz w:val="22"/>
                <w:szCs w:val="22"/>
              </w:rPr>
              <w:t>other Health and Safety legislation</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 xml:space="preserve">The organisation’s Health and Safety policy has been updated and was approved by the Board. The Health and Safety Committee </w:t>
            </w:r>
            <w:r w:rsidR="00381D60">
              <w:rPr>
                <w:rFonts w:ascii="Arial" w:hAnsi="Arial" w:cs="Arial"/>
              </w:rPr>
              <w:t xml:space="preserve">is in place and is </w:t>
            </w:r>
            <w:r w:rsidRPr="0037246E">
              <w:rPr>
                <w:rFonts w:ascii="Arial" w:hAnsi="Arial" w:cs="Arial"/>
              </w:rPr>
              <w:t xml:space="preserve">chaired by the </w:t>
            </w:r>
            <w:r w:rsidR="00381D60">
              <w:rPr>
                <w:rFonts w:ascii="Arial" w:hAnsi="Arial" w:cs="Arial"/>
              </w:rPr>
              <w:t xml:space="preserve">Commercial Operations Director </w:t>
            </w:r>
            <w:r w:rsidRPr="0037246E">
              <w:rPr>
                <w:rFonts w:ascii="Arial" w:hAnsi="Arial" w:cs="Arial"/>
              </w:rPr>
              <w:t>and monitors compliance on an ongoing basis.</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The Audit and Risk Committee review the minutes from these meetings and receive an annual Health and Safety report.</w:t>
            </w:r>
          </w:p>
          <w:p w:rsidR="00C022EE" w:rsidRDefault="00C022EE" w:rsidP="00C022EE">
            <w:pPr>
              <w:pStyle w:val="ListParagraph"/>
              <w:numPr>
                <w:ilvl w:val="0"/>
                <w:numId w:val="3"/>
              </w:numPr>
              <w:spacing w:after="0" w:line="240" w:lineRule="auto"/>
              <w:rPr>
                <w:rFonts w:ascii="Arial" w:hAnsi="Arial" w:cs="Arial"/>
              </w:rPr>
            </w:pPr>
            <w:r w:rsidRPr="0037246E">
              <w:rPr>
                <w:rFonts w:ascii="Arial" w:hAnsi="Arial" w:cs="Arial"/>
              </w:rPr>
              <w:t>Competent persons are in place and are suitably trained.</w:t>
            </w:r>
          </w:p>
          <w:p w:rsidR="00381D60" w:rsidRPr="0037246E" w:rsidRDefault="00381D60" w:rsidP="00C022EE">
            <w:pPr>
              <w:pStyle w:val="ListParagraph"/>
              <w:numPr>
                <w:ilvl w:val="0"/>
                <w:numId w:val="3"/>
              </w:numPr>
              <w:spacing w:after="0" w:line="240" w:lineRule="auto"/>
              <w:rPr>
                <w:rFonts w:ascii="Arial" w:hAnsi="Arial" w:cs="Arial"/>
              </w:rPr>
            </w:pPr>
            <w:r>
              <w:rPr>
                <w:rFonts w:ascii="Arial" w:hAnsi="Arial" w:cs="Arial"/>
              </w:rPr>
              <w:t>Risk assessments are reviewed annually by Department Heads who are responsible for ensuring they are up to date and cover relevant risks.</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JC</w:t>
            </w:r>
            <w:r w:rsidR="004C2EB8">
              <w:rPr>
                <w:rFonts w:ascii="Arial" w:hAnsi="Arial" w:cs="Arial"/>
              </w:rPr>
              <w:t xml:space="preserve"> / SR</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4C2EB8" w:rsidRDefault="00C022EE" w:rsidP="004C2EB8">
            <w:pPr>
              <w:rPr>
                <w:rFonts w:ascii="Arial" w:hAnsi="Arial" w:cs="Arial"/>
              </w:rPr>
            </w:pP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p>
          <w:p w:rsidR="004C2EB8" w:rsidRDefault="004C2EB8" w:rsidP="000371C3">
            <w:pPr>
              <w:pStyle w:val="ListParagraph"/>
              <w:rPr>
                <w:rFonts w:ascii="Arial" w:hAnsi="Arial" w:cs="Arial"/>
              </w:rPr>
            </w:pPr>
            <w:r>
              <w:rPr>
                <w:rFonts w:ascii="Arial" w:hAnsi="Arial" w:cs="Arial"/>
              </w:rPr>
              <w:t>SR</w:t>
            </w:r>
          </w:p>
          <w:p w:rsidR="004C2EB8" w:rsidRDefault="004C2EB8"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SR</w:t>
            </w:r>
          </w:p>
          <w:p w:rsidR="00C022EE" w:rsidRPr="0037246E" w:rsidRDefault="00C022EE" w:rsidP="000371C3">
            <w:pPr>
              <w:pStyle w:val="ListParagraph"/>
              <w:rPr>
                <w:rFonts w:ascii="Arial" w:hAnsi="Arial" w:cs="Arial"/>
              </w:rPr>
            </w:pPr>
          </w:p>
          <w:p w:rsidR="00C022EE" w:rsidRPr="004C2EB8" w:rsidRDefault="004C2EB8" w:rsidP="004C2EB8">
            <w:pPr>
              <w:rPr>
                <w:rFonts w:ascii="Arial" w:hAnsi="Arial" w:cs="Arial"/>
              </w:rPr>
            </w:pPr>
            <w:r>
              <w:rPr>
                <w:rFonts w:ascii="Arial" w:eastAsiaTheme="minorEastAsia" w:hAnsi="Arial" w:cs="Arial"/>
                <w:color w:val="auto"/>
                <w:sz w:val="22"/>
                <w:szCs w:val="22"/>
                <w:lang w:eastAsia="zh-TW"/>
              </w:rPr>
              <w:t xml:space="preserve">            </w:t>
            </w:r>
            <w:r w:rsidR="00C022EE" w:rsidRPr="004C2EB8">
              <w:rPr>
                <w:rFonts w:ascii="Arial" w:hAnsi="Arial" w:cs="Arial"/>
              </w:rPr>
              <w:t>SR</w:t>
            </w:r>
          </w:p>
        </w:tc>
      </w:tr>
      <w:tr w:rsidR="00C022EE" w:rsidRPr="0037246E" w:rsidTr="00C54C1D">
        <w:tc>
          <w:tcPr>
            <w:tcW w:w="3284" w:type="dxa"/>
          </w:tcPr>
          <w:p w:rsidR="00C022EE" w:rsidRDefault="00C022EE" w:rsidP="000371C3">
            <w:pPr>
              <w:rPr>
                <w:rFonts w:ascii="Arial" w:hAnsi="Arial" w:cs="Arial"/>
                <w:sz w:val="22"/>
                <w:szCs w:val="22"/>
              </w:rPr>
            </w:pPr>
            <w:r w:rsidRPr="0037246E">
              <w:rPr>
                <w:rFonts w:ascii="Arial" w:hAnsi="Arial" w:cs="Arial"/>
                <w:sz w:val="22"/>
                <w:szCs w:val="22"/>
              </w:rPr>
              <w:t>E</w:t>
            </w:r>
            <w:r w:rsidR="00381D60">
              <w:rPr>
                <w:rFonts w:ascii="Arial" w:hAnsi="Arial" w:cs="Arial"/>
                <w:sz w:val="22"/>
                <w:szCs w:val="22"/>
              </w:rPr>
              <w:t>mployment Legislation</w:t>
            </w:r>
            <w:r w:rsidR="00381D60">
              <w:rPr>
                <w:rFonts w:ascii="Arial" w:hAnsi="Arial" w:cs="Arial"/>
                <w:sz w:val="22"/>
                <w:szCs w:val="22"/>
              </w:rPr>
              <w:br/>
              <w:t>including but not limited to:</w:t>
            </w:r>
          </w:p>
          <w:p w:rsidR="00C022EE" w:rsidRPr="00C54C1D" w:rsidRDefault="00381D60" w:rsidP="0072081B">
            <w:pPr>
              <w:pStyle w:val="ListParagraph"/>
              <w:numPr>
                <w:ilvl w:val="0"/>
                <w:numId w:val="4"/>
              </w:numPr>
              <w:spacing w:after="0" w:line="240" w:lineRule="auto"/>
              <w:rPr>
                <w:rFonts w:ascii="Arial" w:hAnsi="Arial" w:cs="Arial"/>
              </w:rPr>
            </w:pPr>
            <w:r w:rsidRPr="00C54C1D">
              <w:rPr>
                <w:rFonts w:ascii="Arial" w:hAnsi="Arial" w:cs="Arial"/>
              </w:rPr>
              <w:t>Equality Act 2010</w:t>
            </w:r>
            <w:r w:rsidR="00C54C1D">
              <w:rPr>
                <w:rFonts w:ascii="Arial" w:hAnsi="Arial" w:cs="Arial"/>
              </w:rPr>
              <w:t xml:space="preserve"> (</w:t>
            </w:r>
            <w:r w:rsidR="00C022EE" w:rsidRPr="00C54C1D">
              <w:rPr>
                <w:rFonts w:ascii="Arial" w:hAnsi="Arial" w:cs="Arial"/>
              </w:rPr>
              <w:t xml:space="preserve">Equal Pay Act </w:t>
            </w:r>
            <w:r w:rsidR="00C54C1D">
              <w:rPr>
                <w:rFonts w:ascii="Arial" w:hAnsi="Arial" w:cs="Arial"/>
              </w:rPr>
              <w:t>is now incorporated)</w:t>
            </w:r>
          </w:p>
          <w:p w:rsidR="00C022EE" w:rsidRDefault="00C022EE" w:rsidP="00C022EE">
            <w:pPr>
              <w:pStyle w:val="ListParagraph"/>
              <w:numPr>
                <w:ilvl w:val="0"/>
                <w:numId w:val="4"/>
              </w:numPr>
              <w:spacing w:after="0" w:line="240" w:lineRule="auto"/>
              <w:rPr>
                <w:rFonts w:ascii="Arial" w:hAnsi="Arial" w:cs="Arial"/>
              </w:rPr>
            </w:pPr>
            <w:r w:rsidRPr="0037246E">
              <w:rPr>
                <w:rFonts w:ascii="Arial" w:hAnsi="Arial" w:cs="Arial"/>
              </w:rPr>
              <w:t>Minimum Wage Act 1998</w:t>
            </w:r>
          </w:p>
          <w:p w:rsidR="00C54C1D" w:rsidRPr="0037246E" w:rsidRDefault="00C54C1D" w:rsidP="00C022EE">
            <w:pPr>
              <w:pStyle w:val="ListParagraph"/>
              <w:numPr>
                <w:ilvl w:val="0"/>
                <w:numId w:val="4"/>
              </w:numPr>
              <w:spacing w:after="0" w:line="240" w:lineRule="auto"/>
              <w:rPr>
                <w:rFonts w:ascii="Arial" w:hAnsi="Arial" w:cs="Arial"/>
              </w:rPr>
            </w:pPr>
            <w:r>
              <w:rPr>
                <w:rFonts w:ascii="Arial" w:hAnsi="Arial" w:cs="Arial"/>
              </w:rPr>
              <w:t>Equality Act 2010 (Gender Pay Gap Information Regulations 2017)</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Male and Female employees are offered the same rates of pay for comparable positions – job evaluation scheme is in place.</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 xml:space="preserve">Employment contracts give staff at least and often enhance the legal minimum terms and conditions in relation to all employment rights including holiday entitlement and other forms of leave. </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Solicitors are available for employment law advice and their services are used as required.</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KD</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br/>
              <w:t>KD</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rPr>
                <w:rFonts w:ascii="Arial" w:hAnsi="Arial" w:cs="Arial"/>
                <w:sz w:val="22"/>
                <w:szCs w:val="22"/>
              </w:rPr>
            </w:pPr>
          </w:p>
          <w:p w:rsidR="00C022EE" w:rsidRPr="0037246E" w:rsidRDefault="00C022EE" w:rsidP="000371C3">
            <w:pPr>
              <w:rPr>
                <w:rFonts w:ascii="Arial" w:hAnsi="Arial" w:cs="Arial"/>
                <w:sz w:val="22"/>
                <w:szCs w:val="22"/>
              </w:rPr>
            </w:pPr>
          </w:p>
          <w:p w:rsidR="00C022EE" w:rsidRPr="0037246E" w:rsidRDefault="00C022EE" w:rsidP="000371C3">
            <w:pPr>
              <w:pStyle w:val="ListParagraph"/>
              <w:rPr>
                <w:rFonts w:ascii="Arial" w:hAnsi="Arial" w:cs="Arial"/>
              </w:rPr>
            </w:pPr>
            <w:r w:rsidRPr="0037246E">
              <w:rPr>
                <w:rFonts w:ascii="Arial" w:hAnsi="Arial" w:cs="Arial"/>
              </w:rPr>
              <w:t>KD</w:t>
            </w:r>
          </w:p>
        </w:tc>
      </w:tr>
      <w:tr w:rsidR="00C54C1D" w:rsidRPr="0037246E" w:rsidTr="00C54C1D">
        <w:trPr>
          <w:trHeight w:val="3172"/>
        </w:trPr>
        <w:tc>
          <w:tcPr>
            <w:tcW w:w="3284" w:type="dxa"/>
          </w:tcPr>
          <w:p w:rsidR="00C54C1D" w:rsidRPr="0037246E" w:rsidRDefault="00C54C1D" w:rsidP="0072081B">
            <w:pPr>
              <w:rPr>
                <w:rFonts w:ascii="Arial" w:hAnsi="Arial" w:cs="Arial"/>
                <w:sz w:val="22"/>
                <w:szCs w:val="22"/>
              </w:rPr>
            </w:pPr>
            <w:r w:rsidRPr="0037246E">
              <w:rPr>
                <w:rFonts w:ascii="Arial" w:hAnsi="Arial" w:cs="Arial"/>
                <w:sz w:val="22"/>
                <w:szCs w:val="22"/>
              </w:rPr>
              <w:t>Equality Act 2010</w:t>
            </w:r>
          </w:p>
        </w:tc>
        <w:tc>
          <w:tcPr>
            <w:tcW w:w="5046" w:type="dxa"/>
          </w:tcPr>
          <w:p w:rsidR="00C54C1D" w:rsidRPr="0037246E" w:rsidRDefault="00C54C1D" w:rsidP="0072081B">
            <w:pPr>
              <w:pStyle w:val="ListParagraph"/>
              <w:numPr>
                <w:ilvl w:val="0"/>
                <w:numId w:val="3"/>
              </w:numPr>
              <w:spacing w:after="0" w:line="240" w:lineRule="auto"/>
              <w:rPr>
                <w:rFonts w:ascii="Arial" w:hAnsi="Arial" w:cs="Arial"/>
              </w:rPr>
            </w:pPr>
            <w:r w:rsidRPr="0037246E">
              <w:rPr>
                <w:rFonts w:ascii="Arial" w:hAnsi="Arial" w:cs="Arial"/>
              </w:rPr>
              <w:t>Procedures are in place to prevent gender segregation at meetings and events (other than during religious worship)</w:t>
            </w:r>
          </w:p>
          <w:p w:rsidR="00C54C1D" w:rsidRPr="0037246E" w:rsidRDefault="00C54C1D" w:rsidP="0072081B">
            <w:pPr>
              <w:pStyle w:val="ListParagraph"/>
              <w:numPr>
                <w:ilvl w:val="0"/>
                <w:numId w:val="3"/>
              </w:numPr>
              <w:spacing w:after="0" w:line="240" w:lineRule="auto"/>
              <w:rPr>
                <w:rFonts w:ascii="Arial" w:hAnsi="Arial" w:cs="Arial"/>
              </w:rPr>
            </w:pPr>
            <w:r w:rsidRPr="0037246E">
              <w:rPr>
                <w:rFonts w:ascii="Arial" w:hAnsi="Arial" w:cs="Arial"/>
              </w:rPr>
              <w:t>Employment related procedures have been drawn up with appropriate awareness of discrimination and diversity issues.</w:t>
            </w:r>
            <w:r>
              <w:rPr>
                <w:rFonts w:ascii="Arial" w:hAnsi="Arial" w:cs="Arial"/>
              </w:rPr>
              <w:t xml:space="preserve">  Full policy review with equality impact assessments is commencing June 2019</w:t>
            </w:r>
          </w:p>
          <w:p w:rsidR="00C54C1D" w:rsidRPr="0037246E" w:rsidRDefault="00C54C1D" w:rsidP="0072081B">
            <w:pPr>
              <w:pStyle w:val="ListParagraph"/>
              <w:numPr>
                <w:ilvl w:val="0"/>
                <w:numId w:val="3"/>
              </w:numPr>
              <w:spacing w:after="0" w:line="240" w:lineRule="auto"/>
              <w:rPr>
                <w:rFonts w:ascii="Arial" w:hAnsi="Arial" w:cs="Arial"/>
              </w:rPr>
            </w:pPr>
            <w:r w:rsidRPr="0037246E">
              <w:rPr>
                <w:rFonts w:ascii="Arial" w:hAnsi="Arial" w:cs="Arial"/>
              </w:rPr>
              <w:t>The HR Director is responsible for HR practices; advising on and overseeing recruitment and other line-management procedures across the organisation.</w:t>
            </w:r>
          </w:p>
          <w:p w:rsidR="00C54C1D" w:rsidRPr="0037246E" w:rsidRDefault="00C54C1D" w:rsidP="0072081B">
            <w:pPr>
              <w:pStyle w:val="ListParagraph"/>
              <w:numPr>
                <w:ilvl w:val="0"/>
                <w:numId w:val="3"/>
              </w:numPr>
              <w:spacing w:after="0" w:line="240" w:lineRule="auto"/>
              <w:rPr>
                <w:rFonts w:ascii="Arial" w:hAnsi="Arial" w:cs="Arial"/>
              </w:rPr>
            </w:pPr>
            <w:r w:rsidRPr="0037246E">
              <w:rPr>
                <w:rFonts w:ascii="Arial" w:hAnsi="Arial" w:cs="Arial"/>
              </w:rPr>
              <w:t>Training for employees is provided</w:t>
            </w:r>
            <w:r>
              <w:rPr>
                <w:rFonts w:ascii="Arial" w:hAnsi="Arial" w:cs="Arial"/>
              </w:rPr>
              <w:t>.</w:t>
            </w:r>
          </w:p>
        </w:tc>
        <w:tc>
          <w:tcPr>
            <w:tcW w:w="2352" w:type="dxa"/>
          </w:tcPr>
          <w:p w:rsidR="00C54C1D" w:rsidRPr="0037246E" w:rsidRDefault="00C54C1D" w:rsidP="0072081B">
            <w:pPr>
              <w:pStyle w:val="ListParagraph"/>
              <w:rPr>
                <w:rFonts w:ascii="Arial" w:hAnsi="Arial" w:cs="Arial"/>
              </w:rPr>
            </w:pPr>
            <w:r w:rsidRPr="0037246E">
              <w:rPr>
                <w:rFonts w:ascii="Arial" w:hAnsi="Arial" w:cs="Arial"/>
              </w:rPr>
              <w:t>JC</w:t>
            </w:r>
          </w:p>
          <w:p w:rsidR="00C54C1D" w:rsidRPr="00C022EE" w:rsidRDefault="00C54C1D" w:rsidP="0072081B">
            <w:pPr>
              <w:rPr>
                <w:rFonts w:ascii="Arial" w:hAnsi="Arial" w:cs="Arial"/>
              </w:rPr>
            </w:pPr>
          </w:p>
          <w:p w:rsidR="00C54C1D" w:rsidRPr="0037246E" w:rsidRDefault="00C54C1D" w:rsidP="0072081B">
            <w:pPr>
              <w:pStyle w:val="ListParagraph"/>
              <w:rPr>
                <w:rFonts w:ascii="Arial" w:hAnsi="Arial" w:cs="Arial"/>
              </w:rPr>
            </w:pPr>
          </w:p>
          <w:p w:rsidR="00C54C1D" w:rsidRPr="0037246E" w:rsidRDefault="00C54C1D" w:rsidP="0072081B">
            <w:pPr>
              <w:pStyle w:val="ListParagraph"/>
              <w:rPr>
                <w:rFonts w:ascii="Arial" w:hAnsi="Arial" w:cs="Arial"/>
              </w:rPr>
            </w:pPr>
            <w:r w:rsidRPr="0037246E">
              <w:rPr>
                <w:rFonts w:ascii="Arial" w:hAnsi="Arial" w:cs="Arial"/>
              </w:rPr>
              <w:t>KD</w:t>
            </w:r>
          </w:p>
          <w:p w:rsidR="00C54C1D" w:rsidRPr="0037246E" w:rsidRDefault="00C54C1D" w:rsidP="0072081B">
            <w:pPr>
              <w:pStyle w:val="ListParagraph"/>
              <w:rPr>
                <w:rFonts w:ascii="Arial" w:hAnsi="Arial" w:cs="Arial"/>
              </w:rPr>
            </w:pPr>
          </w:p>
          <w:p w:rsidR="00C54C1D" w:rsidRPr="00C022EE" w:rsidRDefault="00C54C1D" w:rsidP="0072081B">
            <w:pPr>
              <w:rPr>
                <w:rFonts w:ascii="Arial" w:hAnsi="Arial" w:cs="Arial"/>
              </w:rPr>
            </w:pPr>
          </w:p>
          <w:p w:rsidR="004C2EB8" w:rsidRDefault="004C2EB8" w:rsidP="0072081B">
            <w:pPr>
              <w:pStyle w:val="ListParagraph"/>
              <w:rPr>
                <w:rFonts w:ascii="Arial" w:hAnsi="Arial" w:cs="Arial"/>
              </w:rPr>
            </w:pPr>
          </w:p>
          <w:p w:rsidR="00C54C1D" w:rsidRPr="004C2EB8" w:rsidRDefault="004C2EB8" w:rsidP="004C2EB8">
            <w:pPr>
              <w:rPr>
                <w:rFonts w:ascii="Arial" w:hAnsi="Arial" w:cs="Arial"/>
              </w:rPr>
            </w:pPr>
            <w:r>
              <w:rPr>
                <w:rFonts w:ascii="Arial" w:eastAsiaTheme="minorEastAsia" w:hAnsi="Arial" w:cs="Arial"/>
                <w:color w:val="auto"/>
                <w:sz w:val="22"/>
                <w:szCs w:val="22"/>
                <w:lang w:eastAsia="zh-TW"/>
              </w:rPr>
              <w:t xml:space="preserve">            </w:t>
            </w:r>
            <w:r w:rsidR="00C54C1D" w:rsidRPr="004C2EB8">
              <w:rPr>
                <w:rFonts w:ascii="Arial" w:hAnsi="Arial" w:cs="Arial"/>
              </w:rPr>
              <w:t>KD</w:t>
            </w:r>
          </w:p>
          <w:p w:rsidR="00C54C1D" w:rsidRPr="00C022EE" w:rsidRDefault="00C54C1D" w:rsidP="0072081B">
            <w:pPr>
              <w:rPr>
                <w:rFonts w:ascii="Arial" w:hAnsi="Arial" w:cs="Arial"/>
              </w:rPr>
            </w:pPr>
          </w:p>
          <w:p w:rsidR="004C2EB8" w:rsidRDefault="004C2EB8" w:rsidP="0072081B">
            <w:pPr>
              <w:pStyle w:val="ListParagraph"/>
              <w:rPr>
                <w:rFonts w:ascii="Arial" w:hAnsi="Arial" w:cs="Arial"/>
              </w:rPr>
            </w:pPr>
          </w:p>
          <w:p w:rsidR="00C54C1D" w:rsidRPr="0037246E" w:rsidRDefault="00C54C1D" w:rsidP="0072081B">
            <w:pPr>
              <w:pStyle w:val="ListParagraph"/>
              <w:rPr>
                <w:rFonts w:ascii="Arial" w:hAnsi="Arial" w:cs="Arial"/>
              </w:rPr>
            </w:pPr>
            <w:r w:rsidRPr="0037246E">
              <w:rPr>
                <w:rFonts w:ascii="Arial" w:hAnsi="Arial" w:cs="Arial"/>
              </w:rPr>
              <w:t>KD</w:t>
            </w:r>
          </w:p>
        </w:tc>
      </w:tr>
      <w:tr w:rsidR="00C54C1D" w:rsidRPr="0037246E" w:rsidTr="00C54C1D">
        <w:tc>
          <w:tcPr>
            <w:tcW w:w="3284" w:type="dxa"/>
          </w:tcPr>
          <w:p w:rsidR="00C54C1D" w:rsidRPr="0037246E" w:rsidRDefault="00C54C1D" w:rsidP="000371C3">
            <w:pPr>
              <w:rPr>
                <w:rFonts w:ascii="Arial" w:hAnsi="Arial" w:cs="Arial"/>
                <w:sz w:val="22"/>
                <w:szCs w:val="22"/>
              </w:rPr>
            </w:pPr>
          </w:p>
        </w:tc>
        <w:tc>
          <w:tcPr>
            <w:tcW w:w="5046" w:type="dxa"/>
          </w:tcPr>
          <w:p w:rsidR="00C54C1D" w:rsidRPr="004C2EB8" w:rsidRDefault="00C54C1D" w:rsidP="004C2EB8">
            <w:pPr>
              <w:rPr>
                <w:rFonts w:ascii="Arial" w:hAnsi="Arial" w:cs="Arial"/>
              </w:rPr>
            </w:pPr>
          </w:p>
        </w:tc>
        <w:tc>
          <w:tcPr>
            <w:tcW w:w="2352" w:type="dxa"/>
          </w:tcPr>
          <w:p w:rsidR="00C54C1D" w:rsidRPr="0037246E" w:rsidRDefault="00C54C1D" w:rsidP="00C022EE">
            <w:pPr>
              <w:pStyle w:val="ListParagraph"/>
              <w:rPr>
                <w:rFonts w:ascii="Arial" w:hAnsi="Arial" w:cs="Arial"/>
              </w:rPr>
            </w:pP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Data Protection Act 2018 and the General Data Protection Regulation.</w:t>
            </w:r>
          </w:p>
        </w:tc>
        <w:tc>
          <w:tcPr>
            <w:tcW w:w="5046" w:type="dxa"/>
          </w:tcPr>
          <w:p w:rsidR="00C022EE" w:rsidRDefault="00C022EE" w:rsidP="00C022EE">
            <w:pPr>
              <w:pStyle w:val="ListParagraph"/>
              <w:numPr>
                <w:ilvl w:val="0"/>
                <w:numId w:val="3"/>
              </w:numPr>
              <w:spacing w:after="0" w:line="240" w:lineRule="auto"/>
              <w:rPr>
                <w:rFonts w:ascii="Arial" w:hAnsi="Arial" w:cs="Arial"/>
              </w:rPr>
            </w:pPr>
            <w:r w:rsidRPr="0037246E">
              <w:rPr>
                <w:rFonts w:ascii="Arial" w:hAnsi="Arial" w:cs="Arial"/>
              </w:rPr>
              <w:t>Policies are available to employees on the Warwick SU intranet site.</w:t>
            </w:r>
          </w:p>
          <w:p w:rsidR="00C54C1D" w:rsidRPr="0037246E" w:rsidRDefault="00C54C1D" w:rsidP="00C022EE">
            <w:pPr>
              <w:pStyle w:val="ListParagraph"/>
              <w:numPr>
                <w:ilvl w:val="0"/>
                <w:numId w:val="3"/>
              </w:numPr>
              <w:spacing w:after="0" w:line="240" w:lineRule="auto"/>
              <w:rPr>
                <w:rFonts w:ascii="Arial" w:hAnsi="Arial" w:cs="Arial"/>
              </w:rPr>
            </w:pPr>
            <w:r>
              <w:rPr>
                <w:rFonts w:ascii="Arial" w:hAnsi="Arial" w:cs="Arial"/>
              </w:rPr>
              <w:t>Privacy notices have been disseminated to employees</w:t>
            </w:r>
          </w:p>
          <w:p w:rsidR="00C022EE" w:rsidRDefault="00C022EE" w:rsidP="00C022EE">
            <w:pPr>
              <w:pStyle w:val="ListParagraph"/>
              <w:numPr>
                <w:ilvl w:val="0"/>
                <w:numId w:val="3"/>
              </w:numPr>
              <w:spacing w:after="0" w:line="240" w:lineRule="auto"/>
              <w:rPr>
                <w:rFonts w:ascii="Arial" w:hAnsi="Arial" w:cs="Arial"/>
              </w:rPr>
            </w:pPr>
            <w:r w:rsidRPr="0037246E">
              <w:rPr>
                <w:rFonts w:ascii="Arial" w:hAnsi="Arial" w:cs="Arial"/>
              </w:rPr>
              <w:lastRenderedPageBreak/>
              <w:t>Warwick SU is registered as a data controller with the Information Commissioners Office.  The registration is renewed annually. The Chief Executive leads on monitoring organisational activity, advising personnel and ensuring compliance as the person responsible on behalf of the Controller.</w:t>
            </w:r>
          </w:p>
          <w:p w:rsidR="00C54C1D" w:rsidRPr="0037246E" w:rsidRDefault="00C54C1D" w:rsidP="00C022EE">
            <w:pPr>
              <w:pStyle w:val="ListParagraph"/>
              <w:numPr>
                <w:ilvl w:val="0"/>
                <w:numId w:val="3"/>
              </w:numPr>
              <w:spacing w:after="0" w:line="240" w:lineRule="auto"/>
              <w:rPr>
                <w:rFonts w:ascii="Arial" w:hAnsi="Arial" w:cs="Arial"/>
              </w:rPr>
            </w:pPr>
            <w:r>
              <w:rPr>
                <w:rFonts w:ascii="Arial" w:hAnsi="Arial" w:cs="Arial"/>
              </w:rPr>
              <w:t>The S</w:t>
            </w:r>
            <w:r w:rsidR="0055002D">
              <w:rPr>
                <w:rFonts w:ascii="Arial" w:hAnsi="Arial" w:cs="Arial"/>
              </w:rPr>
              <w:t>U</w:t>
            </w:r>
            <w:r>
              <w:rPr>
                <w:rFonts w:ascii="Arial" w:hAnsi="Arial" w:cs="Arial"/>
              </w:rPr>
              <w:t xml:space="preserve"> has a Data Protection Supervisor who handles any data breach notifications and subject access requests</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 xml:space="preserve">There is a Data Sharing Agreement in place between the SU and the University; this is </w:t>
            </w:r>
            <w:r w:rsidR="003435D7">
              <w:rPr>
                <w:rFonts w:ascii="Arial" w:hAnsi="Arial" w:cs="Arial"/>
              </w:rPr>
              <w:t xml:space="preserve">drafted with consideration </w:t>
            </w:r>
            <w:r w:rsidRPr="0037246E">
              <w:rPr>
                <w:rFonts w:ascii="Arial" w:hAnsi="Arial" w:cs="Arial"/>
              </w:rPr>
              <w:t>of GDPR.</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 xml:space="preserve">The SU has reviewed its policies and procedures and has brought them into line with the new legislation. </w:t>
            </w:r>
            <w:r w:rsidR="00C54C1D">
              <w:rPr>
                <w:rFonts w:ascii="Arial" w:hAnsi="Arial" w:cs="Arial"/>
              </w:rPr>
              <w:t>The work is ongoing</w:t>
            </w:r>
          </w:p>
        </w:tc>
        <w:tc>
          <w:tcPr>
            <w:tcW w:w="2352" w:type="dxa"/>
          </w:tcPr>
          <w:p w:rsidR="00C022EE" w:rsidRPr="00C022EE" w:rsidRDefault="00C022EE" w:rsidP="00C022EE">
            <w:pPr>
              <w:pStyle w:val="ListParagraph"/>
              <w:rPr>
                <w:rFonts w:ascii="Arial" w:hAnsi="Arial" w:cs="Arial"/>
              </w:rPr>
            </w:pPr>
            <w:r w:rsidRPr="0037246E">
              <w:rPr>
                <w:rFonts w:ascii="Arial" w:hAnsi="Arial" w:cs="Arial"/>
              </w:rPr>
              <w:lastRenderedPageBreak/>
              <w:t>JC</w:t>
            </w:r>
            <w:r>
              <w:rPr>
                <w:rFonts w:ascii="Arial" w:hAnsi="Arial" w:cs="Arial"/>
              </w:rPr>
              <w:br/>
            </w:r>
          </w:p>
          <w:p w:rsidR="00C54C1D" w:rsidRDefault="00C54C1D" w:rsidP="000371C3">
            <w:pPr>
              <w:pStyle w:val="ListParagraph"/>
              <w:rPr>
                <w:rFonts w:ascii="Arial" w:hAnsi="Arial" w:cs="Arial"/>
              </w:rPr>
            </w:pPr>
            <w:r>
              <w:rPr>
                <w:rFonts w:ascii="Arial" w:hAnsi="Arial" w:cs="Arial"/>
              </w:rPr>
              <w:t>KD</w:t>
            </w:r>
          </w:p>
          <w:p w:rsidR="00C54C1D" w:rsidRDefault="00C54C1D" w:rsidP="000371C3">
            <w:pPr>
              <w:pStyle w:val="ListParagraph"/>
              <w:rPr>
                <w:rFonts w:ascii="Arial" w:hAnsi="Arial" w:cs="Arial"/>
              </w:rPr>
            </w:pPr>
          </w:p>
          <w:p w:rsidR="00C022EE" w:rsidRPr="0037246E" w:rsidRDefault="00093AAA" w:rsidP="000371C3">
            <w:pPr>
              <w:pStyle w:val="ListParagraph"/>
              <w:rPr>
                <w:rFonts w:ascii="Arial" w:hAnsi="Arial" w:cs="Arial"/>
              </w:rPr>
            </w:pPr>
            <w:r>
              <w:rPr>
                <w:rFonts w:ascii="Arial" w:hAnsi="Arial" w:cs="Arial"/>
              </w:rPr>
              <w:lastRenderedPageBreak/>
              <w:t>JC/MCC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54C1D" w:rsidRDefault="00C54C1D" w:rsidP="000371C3">
            <w:pPr>
              <w:pStyle w:val="ListParagraph"/>
              <w:rPr>
                <w:rFonts w:ascii="Arial" w:eastAsia="Franklin Gothic Book" w:hAnsi="Arial" w:cs="Arial"/>
              </w:rPr>
            </w:pPr>
            <w:r>
              <w:rPr>
                <w:rFonts w:ascii="Arial" w:eastAsia="Franklin Gothic Book" w:hAnsi="Arial" w:cs="Arial"/>
              </w:rPr>
              <w:t>JC / FS</w:t>
            </w:r>
            <w:r w:rsidR="00C022EE">
              <w:rPr>
                <w:rFonts w:ascii="Arial" w:eastAsia="Franklin Gothic Book" w:hAnsi="Arial" w:cs="Arial"/>
              </w:rPr>
              <w:br/>
            </w:r>
          </w:p>
          <w:p w:rsidR="00C54C1D" w:rsidRDefault="00C54C1D" w:rsidP="000371C3">
            <w:pPr>
              <w:pStyle w:val="ListParagraph"/>
              <w:rPr>
                <w:rFonts w:ascii="Arial" w:eastAsia="Franklin Gothic Book" w:hAnsi="Arial" w:cs="Arial"/>
              </w:rPr>
            </w:pPr>
          </w:p>
          <w:p w:rsidR="00C022EE" w:rsidRPr="0037246E" w:rsidRDefault="00C022EE" w:rsidP="000371C3">
            <w:pPr>
              <w:pStyle w:val="ListParagraph"/>
              <w:rPr>
                <w:rFonts w:ascii="Arial" w:eastAsia="Franklin Gothic Book" w:hAnsi="Arial" w:cs="Arial"/>
              </w:rPr>
            </w:pPr>
            <w:r w:rsidRPr="0037246E">
              <w:rPr>
                <w:rFonts w:ascii="Arial" w:eastAsia="Franklin Gothic Book" w:hAnsi="Arial" w:cs="Arial"/>
              </w:rPr>
              <w:t>DDIT</w:t>
            </w: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DDIT</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lastRenderedPageBreak/>
              <w:t>Education Act 1994</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 xml:space="preserve">Warwick University has developed </w:t>
            </w:r>
            <w:r w:rsidR="00C54C1D">
              <w:rPr>
                <w:rFonts w:ascii="Arial" w:hAnsi="Arial" w:cs="Arial"/>
              </w:rPr>
              <w:t>a Code of Practice (Ordinance 10</w:t>
            </w:r>
            <w:r w:rsidRPr="0037246E">
              <w:rPr>
                <w:rFonts w:ascii="Arial" w:hAnsi="Arial" w:cs="Arial"/>
              </w:rPr>
              <w:t>) that covers all relevant aspects of the Education Act.</w:t>
            </w:r>
          </w:p>
          <w:p w:rsidR="00C54C1D" w:rsidRDefault="00C022EE" w:rsidP="0072081B">
            <w:pPr>
              <w:pStyle w:val="ListParagraph"/>
              <w:numPr>
                <w:ilvl w:val="0"/>
                <w:numId w:val="3"/>
              </w:numPr>
              <w:spacing w:after="0" w:line="240" w:lineRule="auto"/>
              <w:rPr>
                <w:rFonts w:ascii="Arial" w:hAnsi="Arial" w:cs="Arial"/>
              </w:rPr>
            </w:pPr>
            <w:r w:rsidRPr="00C54C1D">
              <w:rPr>
                <w:rFonts w:ascii="Arial" w:hAnsi="Arial" w:cs="Arial"/>
              </w:rPr>
              <w:t xml:space="preserve">Warwick SU constitution (Articles of Association) is approved by the University Council and reviewed at least every five years </w:t>
            </w:r>
          </w:p>
          <w:p w:rsidR="00C022EE" w:rsidRPr="00C54C1D" w:rsidRDefault="00C022EE" w:rsidP="0072081B">
            <w:pPr>
              <w:pStyle w:val="ListParagraph"/>
              <w:numPr>
                <w:ilvl w:val="0"/>
                <w:numId w:val="3"/>
              </w:numPr>
              <w:spacing w:after="0" w:line="240" w:lineRule="auto"/>
              <w:rPr>
                <w:rFonts w:ascii="Arial" w:hAnsi="Arial" w:cs="Arial"/>
              </w:rPr>
            </w:pPr>
            <w:r w:rsidRPr="00C54C1D">
              <w:rPr>
                <w:rFonts w:ascii="Arial" w:hAnsi="Arial" w:cs="Arial"/>
              </w:rPr>
              <w:t>Students are given the right to opt out of membership.</w:t>
            </w:r>
          </w:p>
          <w:p w:rsidR="002C55F6" w:rsidRPr="002C55F6" w:rsidRDefault="00C022EE" w:rsidP="002C55F6">
            <w:pPr>
              <w:pStyle w:val="ListParagraph"/>
              <w:numPr>
                <w:ilvl w:val="0"/>
                <w:numId w:val="3"/>
              </w:numPr>
              <w:spacing w:after="0" w:line="240" w:lineRule="auto"/>
              <w:rPr>
                <w:rFonts w:ascii="Arial" w:hAnsi="Arial" w:cs="Arial"/>
              </w:rPr>
            </w:pPr>
            <w:r w:rsidRPr="002C55F6">
              <w:rPr>
                <w:rFonts w:ascii="Arial" w:eastAsia="Franklin Gothic Book" w:hAnsi="Arial" w:cs="Arial"/>
              </w:rPr>
              <w:t xml:space="preserve">Warwick SU finances are </w:t>
            </w:r>
            <w:r w:rsidR="002C55F6" w:rsidRPr="002C55F6">
              <w:rPr>
                <w:rFonts w:ascii="Arial" w:eastAsia="Franklin Gothic Book" w:hAnsi="Arial" w:cs="Arial"/>
              </w:rPr>
              <w:t xml:space="preserve">regularly </w:t>
            </w:r>
            <w:r w:rsidRPr="002C55F6">
              <w:rPr>
                <w:rFonts w:ascii="Arial" w:eastAsia="Franklin Gothic Book" w:hAnsi="Arial" w:cs="Arial"/>
              </w:rPr>
              <w:t xml:space="preserve">reviewed </w:t>
            </w:r>
            <w:r w:rsidR="002C55F6" w:rsidRPr="002C55F6">
              <w:rPr>
                <w:rFonts w:ascii="Arial" w:eastAsia="Franklin Gothic Book" w:hAnsi="Arial" w:cs="Arial"/>
              </w:rPr>
              <w:t xml:space="preserve">both </w:t>
            </w:r>
            <w:r w:rsidRPr="002C55F6">
              <w:rPr>
                <w:rFonts w:ascii="Arial" w:eastAsia="Franklin Gothic Book" w:hAnsi="Arial" w:cs="Arial"/>
              </w:rPr>
              <w:t xml:space="preserve">by the Students' Union’s Board of Trustees and the Finance sub group of the Finance and General Purposes Committee of the University. </w:t>
            </w:r>
            <w:r w:rsidR="002C55F6" w:rsidRPr="002C55F6">
              <w:rPr>
                <w:rFonts w:ascii="Arial" w:eastAsia="Franklin Gothic Book" w:hAnsi="Arial" w:cs="Arial"/>
              </w:rPr>
              <w:t xml:space="preserve">Management accounts are shared with the University following review by the Board of Trustees. </w:t>
            </w:r>
            <w:r w:rsidRPr="002C55F6">
              <w:rPr>
                <w:rFonts w:ascii="Arial" w:eastAsia="Franklin Gothic Book" w:hAnsi="Arial" w:cs="Arial"/>
              </w:rPr>
              <w:t xml:space="preserve">An annual financial and strategic plan and </w:t>
            </w:r>
            <w:r w:rsidR="002C55F6" w:rsidRPr="002C55F6">
              <w:rPr>
                <w:rFonts w:ascii="Arial" w:eastAsia="Franklin Gothic Book" w:hAnsi="Arial" w:cs="Arial"/>
              </w:rPr>
              <w:t>allocation bid</w:t>
            </w:r>
            <w:r w:rsidRPr="002C55F6">
              <w:rPr>
                <w:rFonts w:ascii="Arial" w:eastAsia="Franklin Gothic Book" w:hAnsi="Arial" w:cs="Arial"/>
              </w:rPr>
              <w:t xml:space="preserve"> is submitted to the Finance</w:t>
            </w:r>
            <w:r w:rsidR="002C55F6">
              <w:rPr>
                <w:rFonts w:ascii="Arial" w:eastAsia="Franklin Gothic Book" w:hAnsi="Arial" w:cs="Arial"/>
              </w:rPr>
              <w:t xml:space="preserve"> and General Purposes Committee.</w:t>
            </w:r>
          </w:p>
          <w:p w:rsidR="00C022EE" w:rsidRPr="002C55F6" w:rsidRDefault="00C022EE" w:rsidP="002C55F6">
            <w:pPr>
              <w:pStyle w:val="ListParagraph"/>
              <w:numPr>
                <w:ilvl w:val="0"/>
                <w:numId w:val="3"/>
              </w:numPr>
              <w:spacing w:after="0" w:line="240" w:lineRule="auto"/>
              <w:rPr>
                <w:rFonts w:ascii="Arial" w:hAnsi="Arial" w:cs="Arial"/>
              </w:rPr>
            </w:pPr>
            <w:r w:rsidRPr="002C55F6">
              <w:rPr>
                <w:rFonts w:ascii="Arial" w:hAnsi="Arial" w:cs="Arial"/>
              </w:rPr>
              <w:t>The full list and details of organisations to which Warwick SU has affiliated is published annually and made available to students via the website.</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An annual vote takes place each year on affiliations</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Allocation of funds to student groups is conducted in a fair manner and decisions are publicised.</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 Complaints Process is in place and readily available to students on the organisation’s website.</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University</w:t>
            </w: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JC</w:t>
            </w:r>
          </w:p>
          <w:p w:rsidR="00C022EE" w:rsidRPr="0037246E" w:rsidRDefault="00C022EE" w:rsidP="000371C3">
            <w:pPr>
              <w:pStyle w:val="ListParagraph"/>
              <w:rPr>
                <w:rFonts w:ascii="Arial" w:hAnsi="Arial" w:cs="Arial"/>
              </w:rPr>
            </w:pPr>
          </w:p>
          <w:p w:rsidR="00C022EE" w:rsidRPr="004C2EB8" w:rsidRDefault="004C2EB8" w:rsidP="004C2EB8">
            <w:pPr>
              <w:rPr>
                <w:rFonts w:ascii="Arial" w:hAnsi="Arial" w:cs="Arial"/>
              </w:rPr>
            </w:pPr>
            <w:r>
              <w:rPr>
                <w:rFonts w:ascii="Arial" w:eastAsiaTheme="minorEastAsia" w:hAnsi="Arial" w:cs="Arial"/>
                <w:color w:val="auto"/>
                <w:sz w:val="22"/>
                <w:szCs w:val="22"/>
                <w:lang w:eastAsia="zh-TW"/>
              </w:rPr>
              <w:t xml:space="preserve">            </w:t>
            </w:r>
            <w:r w:rsidR="00C022EE" w:rsidRPr="004C2EB8">
              <w:rPr>
                <w:rFonts w:ascii="Arial" w:hAnsi="Arial" w:cs="Arial"/>
              </w:rPr>
              <w:t>JC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eastAsia="Franklin Gothic Book" w:hAnsi="Arial" w:cs="Arial"/>
              </w:rPr>
            </w:pPr>
            <w:r w:rsidRPr="0037246E">
              <w:rPr>
                <w:rFonts w:ascii="Arial" w:eastAsia="Franklin Gothic Book" w:hAnsi="Arial" w:cs="Arial"/>
              </w:rPr>
              <w:t>MC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3F7016" w:rsidP="000371C3">
            <w:pPr>
              <w:pStyle w:val="ListParagraph"/>
              <w:rPr>
                <w:rFonts w:ascii="Arial" w:hAnsi="Arial" w:cs="Arial"/>
              </w:rPr>
            </w:pPr>
            <w:r>
              <w:rPr>
                <w:rFonts w:ascii="Arial" w:hAnsi="Arial" w:cs="Arial"/>
              </w:rPr>
              <w:br/>
            </w:r>
            <w:r>
              <w:rPr>
                <w:rFonts w:ascii="Arial" w:hAnsi="Arial" w:cs="Arial"/>
              </w:rPr>
              <w:br/>
            </w: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r>
              <w:rPr>
                <w:rFonts w:ascii="Arial" w:eastAsiaTheme="minorEastAsia" w:hAnsi="Arial" w:cs="Arial"/>
                <w:color w:val="auto"/>
                <w:sz w:val="22"/>
                <w:szCs w:val="22"/>
                <w:lang w:eastAsia="zh-TW"/>
              </w:rPr>
              <w:br/>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ND</w:t>
            </w:r>
          </w:p>
          <w:p w:rsidR="00C022EE" w:rsidRPr="00C022EE" w:rsidRDefault="00C022EE" w:rsidP="00C022EE">
            <w:pPr>
              <w:rPr>
                <w:rFonts w:ascii="Arial" w:hAnsi="Arial" w:cs="Arial"/>
              </w:rPr>
            </w:pPr>
            <w:r>
              <w:rPr>
                <w:rFonts w:ascii="Arial" w:eastAsiaTheme="minorEastAsia" w:hAnsi="Arial" w:cs="Arial"/>
                <w:color w:val="auto"/>
                <w:sz w:val="22"/>
                <w:szCs w:val="22"/>
                <w:lang w:eastAsia="zh-TW"/>
              </w:rPr>
              <w:br/>
            </w:r>
          </w:p>
          <w:p w:rsidR="00C022EE" w:rsidRPr="0037246E" w:rsidRDefault="00C022EE" w:rsidP="000371C3">
            <w:pPr>
              <w:pStyle w:val="ListParagraph"/>
              <w:rPr>
                <w:rFonts w:ascii="Arial" w:hAnsi="Arial" w:cs="Arial"/>
              </w:rPr>
            </w:pPr>
            <w:r w:rsidRPr="0037246E">
              <w:rPr>
                <w:rFonts w:ascii="Arial" w:hAnsi="Arial" w:cs="Arial"/>
              </w:rPr>
              <w:t>ND</w:t>
            </w:r>
          </w:p>
          <w:p w:rsidR="00C022EE" w:rsidRPr="0037246E" w:rsidRDefault="00C022EE" w:rsidP="000371C3">
            <w:pPr>
              <w:rPr>
                <w:rFonts w:ascii="Arial" w:hAnsi="Arial" w:cs="Arial"/>
                <w:sz w:val="22"/>
                <w:szCs w:val="22"/>
              </w:rPr>
            </w:pPr>
          </w:p>
          <w:p w:rsidR="00C022EE" w:rsidRPr="0037246E" w:rsidRDefault="00C022EE" w:rsidP="00C022EE">
            <w:pPr>
              <w:pStyle w:val="ListParagraph"/>
              <w:rPr>
                <w:rFonts w:ascii="Arial" w:hAnsi="Arial" w:cs="Arial"/>
              </w:rPr>
            </w:pPr>
            <w:r w:rsidRPr="0037246E">
              <w:rPr>
                <w:rFonts w:ascii="Arial" w:hAnsi="Arial" w:cs="Arial"/>
              </w:rPr>
              <w:t>ND</w:t>
            </w:r>
            <w:r>
              <w:rPr>
                <w:rFonts w:ascii="Arial" w:hAnsi="Arial" w:cs="Arial"/>
              </w:rPr>
              <w:br/>
            </w:r>
          </w:p>
          <w:p w:rsidR="004C2EB8" w:rsidRDefault="004C2EB8" w:rsidP="000371C3">
            <w:pPr>
              <w:pStyle w:val="ListParagraph"/>
              <w:rPr>
                <w:rFonts w:ascii="Arial" w:hAnsi="Arial" w:cs="Arial"/>
              </w:rPr>
            </w:pPr>
          </w:p>
          <w:p w:rsidR="00C022EE" w:rsidRPr="0037246E" w:rsidRDefault="00093AAA" w:rsidP="000371C3">
            <w:pPr>
              <w:pStyle w:val="ListParagraph"/>
              <w:rPr>
                <w:rFonts w:ascii="Arial" w:hAnsi="Arial" w:cs="Arial"/>
              </w:rPr>
            </w:pPr>
            <w:r>
              <w:rPr>
                <w:rFonts w:ascii="Arial" w:hAnsi="Arial" w:cs="Arial"/>
              </w:rPr>
              <w:t>FS</w:t>
            </w:r>
          </w:p>
          <w:p w:rsidR="00C022EE" w:rsidRPr="0037246E" w:rsidRDefault="00C022EE" w:rsidP="000371C3">
            <w:pPr>
              <w:pStyle w:val="ListParagraph"/>
              <w:rPr>
                <w:rFonts w:ascii="Arial" w:hAnsi="Arial" w:cs="Arial"/>
              </w:rPr>
            </w:pP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Bribery Act 2010</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An Anti-Bribery policy is in place and was reviewed in June 2017. It is communicated to employees and Trustees.</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Records are kept of gifts, hospitality etc. and these are monitored</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Staff are encouraged to report any concerns in confidence</w:t>
            </w:r>
            <w:r w:rsidR="00F948FB">
              <w:rPr>
                <w:rFonts w:ascii="Arial" w:hAnsi="Arial" w:cs="Arial"/>
              </w:rPr>
              <w:t>.</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KD</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093AAA" w:rsidP="000371C3">
            <w:pPr>
              <w:pStyle w:val="ListParagraph"/>
              <w:rPr>
                <w:rFonts w:ascii="Arial" w:hAnsi="Arial" w:cs="Arial"/>
              </w:rPr>
            </w:pPr>
            <w:r>
              <w:rPr>
                <w:rFonts w:ascii="Arial" w:hAnsi="Arial" w:cs="Arial"/>
              </w:rPr>
              <w:t>MCC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lastRenderedPageBreak/>
              <w:t>KD</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lastRenderedPageBreak/>
              <w:t>Fraud Act 2006</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An Anti-Fraud policy is in place and has been communicated to employees and Trustees.</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Staff are encouraged to report any concerns in confidence.</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Procedures are in place to report any significant instances of fraud to the Charities Commission.</w:t>
            </w:r>
          </w:p>
        </w:tc>
        <w:tc>
          <w:tcPr>
            <w:tcW w:w="2352" w:type="dxa"/>
          </w:tcPr>
          <w:p w:rsidR="00C022EE" w:rsidRPr="0037246E" w:rsidRDefault="00C022EE" w:rsidP="000371C3">
            <w:pPr>
              <w:pStyle w:val="ListParagraph"/>
              <w:rPr>
                <w:rFonts w:ascii="Arial" w:hAnsi="Arial" w:cs="Arial"/>
              </w:rPr>
            </w:pPr>
          </w:p>
          <w:p w:rsidR="00C022EE" w:rsidRPr="0037246E" w:rsidRDefault="000371C3" w:rsidP="000371C3">
            <w:pPr>
              <w:pStyle w:val="ListParagraph"/>
              <w:rPr>
                <w:rFonts w:ascii="Arial" w:hAnsi="Arial" w:cs="Arial"/>
              </w:rPr>
            </w:pPr>
            <w:r>
              <w:rPr>
                <w:rFonts w:ascii="Arial" w:hAnsi="Arial" w:cs="Arial"/>
              </w:rPr>
              <w:t>MC</w:t>
            </w: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KD</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JC</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Transparency of Lobbying Act 2014</w:t>
            </w:r>
          </w:p>
          <w:p w:rsidR="00C022EE" w:rsidRPr="0037246E" w:rsidRDefault="00C022EE" w:rsidP="000371C3">
            <w:pPr>
              <w:rPr>
                <w:rFonts w:ascii="Arial" w:hAnsi="Arial" w:cs="Arial"/>
                <w:sz w:val="22"/>
                <w:szCs w:val="22"/>
              </w:rPr>
            </w:pPr>
            <w:r w:rsidRPr="0037246E">
              <w:rPr>
                <w:rFonts w:ascii="Arial" w:hAnsi="Arial" w:cs="Arial"/>
                <w:sz w:val="22"/>
                <w:szCs w:val="22"/>
              </w:rPr>
              <w:t>Political Parties, Elections and Referendums Act 2000</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Ensure that any campaigning activity is in support of its charitable objects</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No donations have been made to political parties</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Campaign communications are monitored in the 6 weeks before elections or referendums to avoid party political support</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Advice from NUS has been taken on this and followed and the Board have been appraised at meetings.</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JC</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Counter Terrorism and Security Act 2015</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Regular liaison takes place with the University.</w:t>
            </w:r>
          </w:p>
          <w:p w:rsidR="00C022EE" w:rsidRDefault="00C022EE" w:rsidP="00C022EE">
            <w:pPr>
              <w:pStyle w:val="ListParagraph"/>
              <w:numPr>
                <w:ilvl w:val="0"/>
                <w:numId w:val="3"/>
              </w:numPr>
              <w:spacing w:after="0" w:line="240" w:lineRule="auto"/>
              <w:rPr>
                <w:rFonts w:ascii="Arial" w:hAnsi="Arial" w:cs="Arial"/>
              </w:rPr>
            </w:pPr>
            <w:r w:rsidRPr="0037246E">
              <w:rPr>
                <w:rFonts w:ascii="Arial" w:hAnsi="Arial" w:cs="Arial"/>
              </w:rPr>
              <w:t>Information on external speakers and events is shared with the University to enable them to comply with the law.</w:t>
            </w:r>
          </w:p>
          <w:p w:rsidR="00C54C1D" w:rsidRPr="0037246E" w:rsidRDefault="00C54C1D" w:rsidP="00C022EE">
            <w:pPr>
              <w:pStyle w:val="ListParagraph"/>
              <w:numPr>
                <w:ilvl w:val="0"/>
                <w:numId w:val="3"/>
              </w:numPr>
              <w:spacing w:after="0" w:line="240" w:lineRule="auto"/>
              <w:rPr>
                <w:rFonts w:ascii="Arial" w:hAnsi="Arial" w:cs="Arial"/>
              </w:rPr>
            </w:pPr>
            <w:r>
              <w:rPr>
                <w:rFonts w:ascii="Arial" w:hAnsi="Arial" w:cs="Arial"/>
              </w:rPr>
              <w:t>External speakers policy is up to date and staff are aware of their responsibilities</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JC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 xml:space="preserve">JC </w:t>
            </w:r>
          </w:p>
          <w:p w:rsidR="00C022EE" w:rsidRDefault="00C022EE" w:rsidP="000371C3">
            <w:pPr>
              <w:pStyle w:val="ListParagraph"/>
              <w:rPr>
                <w:rFonts w:ascii="Arial" w:hAnsi="Arial" w:cs="Arial"/>
              </w:rPr>
            </w:pPr>
          </w:p>
          <w:p w:rsidR="004C2EB8" w:rsidRDefault="004C2EB8" w:rsidP="000371C3">
            <w:pPr>
              <w:pStyle w:val="ListParagraph"/>
              <w:rPr>
                <w:rFonts w:ascii="Arial" w:hAnsi="Arial" w:cs="Arial"/>
              </w:rPr>
            </w:pPr>
          </w:p>
          <w:p w:rsidR="004C2EB8" w:rsidRPr="0037246E" w:rsidRDefault="004C2EB8" w:rsidP="000371C3">
            <w:pPr>
              <w:pStyle w:val="ListParagraph"/>
              <w:rPr>
                <w:rFonts w:ascii="Arial" w:hAnsi="Arial" w:cs="Arial"/>
              </w:rPr>
            </w:pPr>
            <w:r>
              <w:rPr>
                <w:rFonts w:ascii="Arial" w:hAnsi="Arial" w:cs="Arial"/>
              </w:rPr>
              <w:t>JC</w:t>
            </w:r>
          </w:p>
        </w:tc>
      </w:tr>
      <w:tr w:rsidR="00C022EE" w:rsidRPr="0037246E" w:rsidTr="00C54C1D">
        <w:tc>
          <w:tcPr>
            <w:tcW w:w="3284" w:type="dxa"/>
          </w:tcPr>
          <w:p w:rsidR="00C022EE" w:rsidRPr="0037246E" w:rsidRDefault="00C022EE" w:rsidP="000371C3">
            <w:pPr>
              <w:rPr>
                <w:rFonts w:ascii="Arial" w:hAnsi="Arial" w:cs="Arial"/>
                <w:sz w:val="22"/>
                <w:szCs w:val="22"/>
              </w:rPr>
            </w:pPr>
            <w:r w:rsidRPr="0037246E">
              <w:rPr>
                <w:rFonts w:ascii="Arial" w:hAnsi="Arial" w:cs="Arial"/>
                <w:sz w:val="22"/>
                <w:szCs w:val="22"/>
              </w:rPr>
              <w:t>Commercial / Trading</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Food, Health and Hygiene legislation is complied with, including regular checking of best before dates and temperature checking of fridges and chilled deliveries. Additional bi-weekly audits of all food outlets are conducted as standard in order to exceed all expected compliance and flag further opportunities to promote operational excellence.</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Pest control checks are carried out in food and drink locations every 6 weeks (or as required if sooner)</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PAT testing</w:t>
            </w:r>
            <w:r w:rsidR="00381D60">
              <w:rPr>
                <w:rFonts w:ascii="Arial" w:hAnsi="Arial" w:cs="Arial"/>
              </w:rPr>
              <w:t xml:space="preserve"> is carried out as necessary -</w:t>
            </w:r>
            <w:r w:rsidRPr="0037246E">
              <w:rPr>
                <w:rFonts w:ascii="Arial" w:hAnsi="Arial" w:cs="Arial"/>
              </w:rPr>
              <w:t xml:space="preserve"> based on risk.</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Risk assessments have been carried out for all aspects of typical tasks specific to the outlet, including cash handling and manual handling in food and drink environments.</w:t>
            </w:r>
          </w:p>
          <w:p w:rsidR="00C022EE" w:rsidRPr="00C022EE" w:rsidRDefault="00C022EE" w:rsidP="00C022EE">
            <w:pPr>
              <w:pStyle w:val="ListParagraph"/>
              <w:numPr>
                <w:ilvl w:val="0"/>
                <w:numId w:val="3"/>
              </w:numPr>
              <w:spacing w:after="0" w:line="240" w:lineRule="auto"/>
              <w:rPr>
                <w:rFonts w:ascii="Arial" w:eastAsia="Franklin Gothic Book" w:hAnsi="Arial" w:cs="Arial"/>
              </w:rPr>
            </w:pPr>
            <w:r w:rsidRPr="0037246E">
              <w:rPr>
                <w:rFonts w:ascii="Arial" w:eastAsia="Franklin Gothic Book" w:hAnsi="Arial" w:cs="Arial"/>
              </w:rPr>
              <w:t xml:space="preserve">The Commercial Director is the Designated Premises Supervisor for Licencing purposes, with a secondary DPS held by </w:t>
            </w:r>
            <w:r>
              <w:rPr>
                <w:rFonts w:ascii="Arial" w:eastAsia="Franklin Gothic Book" w:hAnsi="Arial" w:cs="Arial"/>
              </w:rPr>
              <w:t xml:space="preserve">the </w:t>
            </w:r>
            <w:r w:rsidR="00C54C1D">
              <w:rPr>
                <w:rFonts w:ascii="Arial" w:eastAsia="Franklin Gothic Book" w:hAnsi="Arial" w:cs="Arial"/>
              </w:rPr>
              <w:t>Commercial</w:t>
            </w:r>
            <w:r>
              <w:rPr>
                <w:rFonts w:ascii="Arial" w:eastAsia="Franklin Gothic Book" w:hAnsi="Arial" w:cs="Arial"/>
              </w:rPr>
              <w:t xml:space="preserve"> Manager. </w:t>
            </w:r>
            <w:r w:rsidRPr="00C022EE">
              <w:rPr>
                <w:rFonts w:ascii="Arial" w:eastAsia="Franklin Gothic Book" w:hAnsi="Arial" w:cs="Arial"/>
              </w:rPr>
              <w:t>The Commercial Director liaises regularly with both the Council and Police as required.</w:t>
            </w:r>
          </w:p>
          <w:p w:rsidR="00C022EE" w:rsidRPr="0037246E" w:rsidRDefault="002C55F6" w:rsidP="002C55F6">
            <w:pPr>
              <w:pStyle w:val="ListParagraph"/>
              <w:numPr>
                <w:ilvl w:val="0"/>
                <w:numId w:val="3"/>
              </w:numPr>
              <w:spacing w:after="0" w:line="240" w:lineRule="auto"/>
              <w:rPr>
                <w:rFonts w:ascii="Arial" w:hAnsi="Arial" w:cs="Arial"/>
              </w:rPr>
            </w:pPr>
            <w:r>
              <w:rPr>
                <w:rFonts w:ascii="Arial" w:hAnsi="Arial" w:cs="Arial"/>
              </w:rPr>
              <w:t xml:space="preserve">The Union takes appropriate advice when entering into </w:t>
            </w:r>
            <w:r w:rsidR="00C022EE" w:rsidRPr="0037246E">
              <w:rPr>
                <w:rFonts w:ascii="Arial" w:hAnsi="Arial" w:cs="Arial"/>
              </w:rPr>
              <w:t xml:space="preserve">commercial contracts </w:t>
            </w:r>
            <w:r>
              <w:rPr>
                <w:rFonts w:ascii="Arial" w:hAnsi="Arial" w:cs="Arial"/>
              </w:rPr>
              <w:t>with suppliers.</w:t>
            </w:r>
          </w:p>
        </w:tc>
        <w:tc>
          <w:tcPr>
            <w:tcW w:w="2352" w:type="dxa"/>
          </w:tcPr>
          <w:p w:rsidR="00C022EE" w:rsidRPr="0037246E" w:rsidRDefault="00C022EE" w:rsidP="000371C3">
            <w:pPr>
              <w:pStyle w:val="ListParagraph"/>
              <w:rPr>
                <w:rFonts w:ascii="Arial" w:hAnsi="Arial" w:cs="Arial"/>
              </w:rPr>
            </w:pPr>
            <w:r w:rsidRPr="0037246E">
              <w:rPr>
                <w:rFonts w:ascii="Arial" w:hAnsi="Arial" w:cs="Arial"/>
              </w:rPr>
              <w:t>SR</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SR</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SR</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SR/DP</w:t>
            </w:r>
          </w:p>
          <w:p w:rsidR="00C022EE" w:rsidRPr="0037246E" w:rsidRDefault="00C022EE" w:rsidP="000371C3">
            <w:pPr>
              <w:pStyle w:val="ListParagraph"/>
              <w:rPr>
                <w:rFonts w:ascii="Arial" w:hAnsi="Arial" w:cs="Arial"/>
              </w:rPr>
            </w:pPr>
          </w:p>
          <w:p w:rsidR="00C022EE" w:rsidRPr="00C022EE" w:rsidRDefault="00C022EE" w:rsidP="00C022EE">
            <w:pPr>
              <w:rPr>
                <w:rFonts w:ascii="Arial" w:hAnsi="Arial" w:cs="Arial"/>
              </w:rPr>
            </w:pP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r w:rsidRPr="0037246E">
              <w:rPr>
                <w:rFonts w:ascii="Arial" w:hAnsi="Arial" w:cs="Arial"/>
              </w:rPr>
              <w:t>SR</w:t>
            </w:r>
          </w:p>
          <w:p w:rsidR="00C022EE" w:rsidRPr="00C022EE" w:rsidRDefault="00C022EE" w:rsidP="00C022EE">
            <w:pPr>
              <w:rPr>
                <w:rFonts w:ascii="Arial" w:hAnsi="Arial" w:cs="Arial"/>
              </w:rPr>
            </w:pPr>
          </w:p>
          <w:p w:rsidR="00C022EE" w:rsidRPr="0037246E" w:rsidRDefault="00C022EE" w:rsidP="000371C3">
            <w:pPr>
              <w:pStyle w:val="ListParagraph"/>
              <w:rPr>
                <w:rFonts w:ascii="Arial" w:hAnsi="Arial" w:cs="Arial"/>
              </w:rPr>
            </w:pPr>
          </w:p>
          <w:p w:rsidR="00C022EE" w:rsidRDefault="00C022EE" w:rsidP="00C022EE">
            <w:pPr>
              <w:pStyle w:val="ListParagraph"/>
              <w:rPr>
                <w:rFonts w:ascii="Arial" w:hAnsi="Arial" w:cs="Arial"/>
              </w:rPr>
            </w:pPr>
            <w:r>
              <w:rPr>
                <w:rFonts w:ascii="Arial" w:hAnsi="Arial" w:cs="Arial"/>
              </w:rPr>
              <w:br/>
            </w:r>
          </w:p>
          <w:p w:rsidR="00C022EE" w:rsidRPr="00C022EE" w:rsidRDefault="00C022EE" w:rsidP="00C022EE">
            <w:pPr>
              <w:pStyle w:val="ListParagraph"/>
              <w:rPr>
                <w:rFonts w:ascii="Arial" w:hAnsi="Arial" w:cs="Arial"/>
              </w:rPr>
            </w:pPr>
          </w:p>
          <w:p w:rsidR="00C022EE" w:rsidRPr="00C022EE" w:rsidRDefault="004C2EB8" w:rsidP="00C022EE">
            <w:pPr>
              <w:pStyle w:val="ListParagraph"/>
              <w:rPr>
                <w:rFonts w:ascii="Arial" w:eastAsia="Franklin Gothic Book" w:hAnsi="Arial" w:cs="Arial"/>
              </w:rPr>
            </w:pPr>
            <w:r>
              <w:rPr>
                <w:rFonts w:ascii="Arial" w:eastAsia="Franklin Gothic Book" w:hAnsi="Arial" w:cs="Arial"/>
              </w:rPr>
              <w:t xml:space="preserve">SR / </w:t>
            </w:r>
            <w:r w:rsidR="00C022EE" w:rsidRPr="0037246E">
              <w:rPr>
                <w:rFonts w:ascii="Arial" w:eastAsia="Franklin Gothic Book" w:hAnsi="Arial" w:cs="Arial"/>
              </w:rPr>
              <w:t>MC</w:t>
            </w:r>
          </w:p>
        </w:tc>
      </w:tr>
      <w:tr w:rsidR="00C022EE" w:rsidRPr="0037246E" w:rsidTr="00C54C1D">
        <w:tc>
          <w:tcPr>
            <w:tcW w:w="3284" w:type="dxa"/>
          </w:tcPr>
          <w:p w:rsidR="00C022EE" w:rsidRPr="0037246E" w:rsidRDefault="00C022EE" w:rsidP="000371C3">
            <w:pPr>
              <w:pStyle w:val="Default"/>
              <w:rPr>
                <w:color w:val="auto"/>
                <w:sz w:val="22"/>
                <w:szCs w:val="22"/>
              </w:rPr>
            </w:pPr>
            <w:r w:rsidRPr="0037246E">
              <w:rPr>
                <w:color w:val="auto"/>
                <w:sz w:val="22"/>
                <w:szCs w:val="22"/>
              </w:rPr>
              <w:lastRenderedPageBreak/>
              <w:t>Insurance</w:t>
            </w:r>
          </w:p>
          <w:p w:rsidR="00C022EE" w:rsidRPr="0037246E" w:rsidRDefault="00C022EE" w:rsidP="000371C3">
            <w:pPr>
              <w:rPr>
                <w:rFonts w:ascii="Arial" w:hAnsi="Arial" w:cs="Arial"/>
                <w:sz w:val="22"/>
                <w:szCs w:val="22"/>
              </w:rPr>
            </w:pPr>
          </w:p>
        </w:tc>
        <w:tc>
          <w:tcPr>
            <w:tcW w:w="5046" w:type="dxa"/>
          </w:tcPr>
          <w:p w:rsidR="00C022EE" w:rsidRPr="004431CA" w:rsidRDefault="00C022EE" w:rsidP="00C022EE">
            <w:pPr>
              <w:pStyle w:val="ListParagraph"/>
              <w:numPr>
                <w:ilvl w:val="0"/>
                <w:numId w:val="3"/>
              </w:numPr>
              <w:spacing w:after="0" w:line="240" w:lineRule="auto"/>
              <w:rPr>
                <w:rFonts w:ascii="Arial" w:hAnsi="Arial" w:cs="Arial"/>
              </w:rPr>
            </w:pPr>
            <w:r w:rsidRPr="004431CA">
              <w:rPr>
                <w:rFonts w:ascii="Arial" w:hAnsi="Arial" w:cs="Arial"/>
              </w:rPr>
              <w:t>Insurance requirements reviewed through a</w:t>
            </w:r>
            <w:r w:rsidR="002C55F6" w:rsidRPr="004431CA">
              <w:rPr>
                <w:rFonts w:ascii="Arial" w:hAnsi="Arial" w:cs="Arial"/>
              </w:rPr>
              <w:t xml:space="preserve"> professional insurance broker </w:t>
            </w:r>
            <w:r w:rsidRPr="004431CA">
              <w:rPr>
                <w:rFonts w:ascii="Arial" w:hAnsi="Arial" w:cs="Arial"/>
              </w:rPr>
              <w:t>on a three yearly basis</w:t>
            </w:r>
            <w:r w:rsidR="002C55F6" w:rsidRPr="004431CA">
              <w:rPr>
                <w:rFonts w:ascii="Arial" w:hAnsi="Arial" w:cs="Arial"/>
              </w:rPr>
              <w:t xml:space="preserve"> </w:t>
            </w:r>
            <w:r w:rsidR="004C2EB8">
              <w:rPr>
                <w:rFonts w:ascii="Arial" w:hAnsi="Arial" w:cs="Arial"/>
              </w:rPr>
              <w:t>(next review July 2021</w:t>
            </w:r>
            <w:r w:rsidR="002C55F6" w:rsidRPr="004431CA">
              <w:rPr>
                <w:rFonts w:ascii="Arial" w:hAnsi="Arial" w:cs="Arial"/>
              </w:rPr>
              <w:t>)</w:t>
            </w:r>
            <w:r w:rsidRPr="004431CA">
              <w:rPr>
                <w:rFonts w:ascii="Arial" w:hAnsi="Arial" w:cs="Arial"/>
              </w:rPr>
              <w:t>.</w:t>
            </w:r>
          </w:p>
          <w:p w:rsidR="00C022EE" w:rsidRPr="004431CA" w:rsidRDefault="00C022EE" w:rsidP="001858E4">
            <w:pPr>
              <w:pStyle w:val="ListParagraph"/>
              <w:numPr>
                <w:ilvl w:val="0"/>
                <w:numId w:val="3"/>
              </w:numPr>
              <w:spacing w:after="0" w:line="240" w:lineRule="auto"/>
              <w:rPr>
                <w:rFonts w:ascii="Arial" w:eastAsia="Franklin Gothic Book" w:hAnsi="Arial" w:cs="Arial"/>
              </w:rPr>
            </w:pPr>
            <w:r w:rsidRPr="004431CA">
              <w:rPr>
                <w:rFonts w:ascii="Arial" w:eastAsia="Franklin Gothic Book" w:hAnsi="Arial" w:cs="Arial"/>
              </w:rPr>
              <w:t>All required insurances in place up to renewal date of</w:t>
            </w:r>
            <w:r w:rsidR="004431CA" w:rsidRPr="004431CA">
              <w:rPr>
                <w:rFonts w:ascii="Arial" w:eastAsia="Franklin Gothic Book" w:hAnsi="Arial" w:cs="Arial"/>
              </w:rPr>
              <w:t xml:space="preserve"> 30 September 2019</w:t>
            </w:r>
          </w:p>
          <w:p w:rsidR="00C022EE" w:rsidRPr="004431CA" w:rsidRDefault="00C022EE" w:rsidP="00F948FB">
            <w:pPr>
              <w:pStyle w:val="ListParagraph"/>
              <w:numPr>
                <w:ilvl w:val="0"/>
                <w:numId w:val="3"/>
              </w:numPr>
              <w:spacing w:after="0" w:line="240" w:lineRule="auto"/>
              <w:rPr>
                <w:rFonts w:ascii="Arial" w:hAnsi="Arial" w:cs="Arial"/>
              </w:rPr>
            </w:pPr>
            <w:r w:rsidRPr="004431CA">
              <w:rPr>
                <w:rFonts w:ascii="Arial" w:hAnsi="Arial" w:cs="Arial"/>
              </w:rPr>
              <w:t xml:space="preserve">Public and employer’s liability augmented by Trustee and Officer </w:t>
            </w:r>
            <w:proofErr w:type="gramStart"/>
            <w:r w:rsidR="001B13C2" w:rsidRPr="004431CA">
              <w:rPr>
                <w:rFonts w:ascii="Arial" w:hAnsi="Arial" w:cs="Arial"/>
              </w:rPr>
              <w:t>cover</w:t>
            </w:r>
            <w:proofErr w:type="gramEnd"/>
            <w:r w:rsidR="001B13C2" w:rsidRPr="004431CA">
              <w:rPr>
                <w:rFonts w:ascii="Arial" w:hAnsi="Arial" w:cs="Arial"/>
              </w:rPr>
              <w:t xml:space="preserve">, </w:t>
            </w:r>
            <w:r w:rsidR="00F948FB" w:rsidRPr="004431CA">
              <w:rPr>
                <w:rFonts w:ascii="Arial" w:hAnsi="Arial" w:cs="Arial"/>
              </w:rPr>
              <w:t>as well as o</w:t>
            </w:r>
            <w:r w:rsidRPr="004431CA">
              <w:rPr>
                <w:rFonts w:ascii="Arial" w:hAnsi="Arial" w:cs="Arial"/>
              </w:rPr>
              <w:t>ther insurance coverage required to meet operational objectives.</w:t>
            </w:r>
          </w:p>
          <w:p w:rsidR="00C54C1D" w:rsidRPr="0037246E" w:rsidRDefault="00C54C1D" w:rsidP="00F948FB">
            <w:pPr>
              <w:pStyle w:val="ListParagraph"/>
              <w:numPr>
                <w:ilvl w:val="0"/>
                <w:numId w:val="3"/>
              </w:numPr>
              <w:spacing w:after="0" w:line="240" w:lineRule="auto"/>
              <w:rPr>
                <w:rFonts w:ascii="Arial" w:hAnsi="Arial" w:cs="Arial"/>
              </w:rPr>
            </w:pPr>
            <w:r w:rsidRPr="004431CA">
              <w:rPr>
                <w:rFonts w:ascii="Arial" w:hAnsi="Arial" w:cs="Arial"/>
              </w:rPr>
              <w:t>Key person insurance in place for MSL</w:t>
            </w:r>
          </w:p>
        </w:tc>
        <w:tc>
          <w:tcPr>
            <w:tcW w:w="2352" w:type="dxa"/>
          </w:tcPr>
          <w:p w:rsidR="00C022EE" w:rsidRPr="0037246E" w:rsidRDefault="00C022EE" w:rsidP="000371C3">
            <w:pPr>
              <w:pStyle w:val="ListParagraph"/>
              <w:rPr>
                <w:rFonts w:ascii="Arial" w:eastAsia="Franklin Gothic Book" w:hAnsi="Arial" w:cs="Arial"/>
              </w:rPr>
            </w:pPr>
            <w:r w:rsidRPr="0037246E">
              <w:rPr>
                <w:rFonts w:ascii="Arial" w:eastAsia="Franklin Gothic Book" w:hAnsi="Arial" w:cs="Arial"/>
              </w:rPr>
              <w:t>MC</w:t>
            </w:r>
          </w:p>
          <w:p w:rsidR="00C022EE" w:rsidRPr="0037246E" w:rsidRDefault="00C022EE" w:rsidP="000371C3">
            <w:pPr>
              <w:pStyle w:val="ListParagraph"/>
              <w:rPr>
                <w:rFonts w:ascii="Arial" w:hAnsi="Arial" w:cs="Arial"/>
              </w:rPr>
            </w:pPr>
          </w:p>
          <w:p w:rsidR="00C022EE" w:rsidRPr="0037246E" w:rsidRDefault="00C022EE" w:rsidP="000371C3">
            <w:pPr>
              <w:pStyle w:val="ListParagraph"/>
              <w:rPr>
                <w:rFonts w:ascii="Arial" w:hAnsi="Arial" w:cs="Arial"/>
              </w:rPr>
            </w:pPr>
          </w:p>
          <w:p w:rsidR="00C022EE" w:rsidRDefault="00C022EE" w:rsidP="000371C3">
            <w:pPr>
              <w:pStyle w:val="ListParagraph"/>
              <w:rPr>
                <w:rFonts w:ascii="Arial" w:eastAsia="Franklin Gothic Book" w:hAnsi="Arial" w:cs="Arial"/>
              </w:rPr>
            </w:pPr>
          </w:p>
          <w:p w:rsidR="00C022EE" w:rsidRPr="00C022EE" w:rsidRDefault="00C022EE" w:rsidP="00C022EE">
            <w:pPr>
              <w:pStyle w:val="ListParagraph"/>
              <w:rPr>
                <w:rFonts w:ascii="Arial" w:eastAsia="Franklin Gothic Book" w:hAnsi="Arial" w:cs="Arial"/>
              </w:rPr>
            </w:pPr>
            <w:r w:rsidRPr="0037246E">
              <w:rPr>
                <w:rFonts w:ascii="Arial" w:eastAsia="Franklin Gothic Book" w:hAnsi="Arial" w:cs="Arial"/>
              </w:rPr>
              <w:t>MC</w:t>
            </w:r>
            <w:r>
              <w:rPr>
                <w:rFonts w:ascii="Arial" w:eastAsia="Franklin Gothic Book" w:hAnsi="Arial" w:cs="Arial"/>
              </w:rPr>
              <w:br/>
            </w:r>
          </w:p>
          <w:p w:rsidR="00C54C1D" w:rsidRDefault="00C022EE" w:rsidP="00C54C1D">
            <w:pPr>
              <w:pStyle w:val="ListParagraph"/>
              <w:rPr>
                <w:rFonts w:ascii="Arial" w:eastAsia="Franklin Gothic Book" w:hAnsi="Arial" w:cs="Arial"/>
              </w:rPr>
            </w:pPr>
            <w:r w:rsidRPr="0037246E">
              <w:rPr>
                <w:rFonts w:ascii="Arial" w:eastAsia="Franklin Gothic Book" w:hAnsi="Arial" w:cs="Arial"/>
              </w:rPr>
              <w:t>MC</w:t>
            </w:r>
          </w:p>
          <w:p w:rsidR="00C54C1D" w:rsidRDefault="00C54C1D" w:rsidP="00C54C1D">
            <w:pPr>
              <w:pStyle w:val="ListParagraph"/>
              <w:rPr>
                <w:rFonts w:ascii="Arial" w:eastAsia="Franklin Gothic Book" w:hAnsi="Arial" w:cs="Arial"/>
              </w:rPr>
            </w:pPr>
          </w:p>
          <w:p w:rsidR="00C54C1D" w:rsidRPr="00C54C1D" w:rsidRDefault="00C54C1D" w:rsidP="00C54C1D">
            <w:pPr>
              <w:pStyle w:val="ListParagraph"/>
              <w:rPr>
                <w:rFonts w:ascii="Arial" w:eastAsia="Franklin Gothic Book" w:hAnsi="Arial" w:cs="Arial"/>
              </w:rPr>
            </w:pPr>
            <w:r w:rsidRPr="00C54C1D">
              <w:rPr>
                <w:rFonts w:ascii="Arial" w:eastAsia="Franklin Gothic Book" w:hAnsi="Arial" w:cs="Arial"/>
              </w:rPr>
              <w:t>MC</w:t>
            </w:r>
          </w:p>
        </w:tc>
      </w:tr>
      <w:tr w:rsidR="00C022EE" w:rsidRPr="0037246E" w:rsidTr="00C54C1D">
        <w:tc>
          <w:tcPr>
            <w:tcW w:w="3284" w:type="dxa"/>
          </w:tcPr>
          <w:p w:rsidR="00C022EE" w:rsidRPr="0037246E" w:rsidRDefault="00C022EE" w:rsidP="000371C3">
            <w:pPr>
              <w:pStyle w:val="Default"/>
              <w:rPr>
                <w:color w:val="auto"/>
                <w:sz w:val="22"/>
                <w:szCs w:val="22"/>
              </w:rPr>
            </w:pPr>
            <w:r w:rsidRPr="0037246E">
              <w:rPr>
                <w:color w:val="auto"/>
                <w:sz w:val="22"/>
                <w:szCs w:val="22"/>
              </w:rPr>
              <w:t>HMRC (Employer Registration)</w:t>
            </w:r>
          </w:p>
        </w:tc>
        <w:tc>
          <w:tcPr>
            <w:tcW w:w="5046" w:type="dxa"/>
          </w:tcPr>
          <w:p w:rsidR="002C55F6" w:rsidRDefault="00C022EE" w:rsidP="002C55F6">
            <w:pPr>
              <w:pStyle w:val="ListParagraph"/>
              <w:numPr>
                <w:ilvl w:val="0"/>
                <w:numId w:val="3"/>
              </w:numPr>
              <w:spacing w:after="0" w:line="240" w:lineRule="auto"/>
              <w:rPr>
                <w:rFonts w:ascii="Arial" w:hAnsi="Arial" w:cs="Arial"/>
              </w:rPr>
            </w:pPr>
            <w:r w:rsidRPr="0037246E">
              <w:rPr>
                <w:rFonts w:ascii="Arial" w:hAnsi="Arial" w:cs="Arial"/>
              </w:rPr>
              <w:t xml:space="preserve">The Union is registered as an employer with HMRC for the reporting and payment of </w:t>
            </w:r>
            <w:r w:rsidR="002C55F6">
              <w:rPr>
                <w:rFonts w:ascii="Arial" w:hAnsi="Arial" w:cs="Arial"/>
              </w:rPr>
              <w:t xml:space="preserve">all </w:t>
            </w:r>
            <w:r w:rsidRPr="0037246E">
              <w:rPr>
                <w:rFonts w:ascii="Arial" w:hAnsi="Arial" w:cs="Arial"/>
              </w:rPr>
              <w:t xml:space="preserve">PAYE and </w:t>
            </w:r>
            <w:r w:rsidR="002C55F6">
              <w:rPr>
                <w:rFonts w:ascii="Arial" w:hAnsi="Arial" w:cs="Arial"/>
              </w:rPr>
              <w:t>tax matters.</w:t>
            </w:r>
          </w:p>
          <w:p w:rsidR="00C022EE" w:rsidRPr="00C022EE" w:rsidRDefault="002C55F6" w:rsidP="002C55F6">
            <w:pPr>
              <w:pStyle w:val="ListParagraph"/>
              <w:numPr>
                <w:ilvl w:val="0"/>
                <w:numId w:val="3"/>
              </w:numPr>
              <w:spacing w:after="0" w:line="240" w:lineRule="auto"/>
              <w:rPr>
                <w:rFonts w:ascii="Arial" w:hAnsi="Arial" w:cs="Arial"/>
              </w:rPr>
            </w:pPr>
            <w:r>
              <w:rPr>
                <w:rFonts w:ascii="Arial" w:hAnsi="Arial" w:cs="Arial"/>
              </w:rPr>
              <w:t>The external audit</w:t>
            </w:r>
            <w:r w:rsidR="00C022EE" w:rsidRPr="0037246E">
              <w:rPr>
                <w:rFonts w:ascii="Arial" w:hAnsi="Arial" w:cs="Arial"/>
              </w:rPr>
              <w:t xml:space="preserve"> includes compliance with requirements relating to PAYE.</w:t>
            </w:r>
          </w:p>
        </w:tc>
        <w:tc>
          <w:tcPr>
            <w:tcW w:w="2352" w:type="dxa"/>
          </w:tcPr>
          <w:p w:rsidR="00C022EE" w:rsidRDefault="00C022EE" w:rsidP="000371C3">
            <w:pPr>
              <w:pStyle w:val="ListParagraph"/>
              <w:rPr>
                <w:rFonts w:ascii="Arial" w:eastAsia="Franklin Gothic Book" w:hAnsi="Arial" w:cs="Arial"/>
              </w:rPr>
            </w:pPr>
            <w:r w:rsidRPr="0037246E">
              <w:rPr>
                <w:rFonts w:ascii="Arial" w:eastAsia="Franklin Gothic Book" w:hAnsi="Arial" w:cs="Arial"/>
              </w:rPr>
              <w:t>MC</w:t>
            </w:r>
          </w:p>
          <w:p w:rsidR="004C2EB8" w:rsidRDefault="004C2EB8" w:rsidP="000371C3">
            <w:pPr>
              <w:pStyle w:val="ListParagraph"/>
              <w:rPr>
                <w:rFonts w:ascii="Arial" w:eastAsia="Franklin Gothic Book" w:hAnsi="Arial" w:cs="Arial"/>
              </w:rPr>
            </w:pPr>
          </w:p>
          <w:p w:rsidR="004C2EB8" w:rsidRDefault="004C2EB8" w:rsidP="000371C3">
            <w:pPr>
              <w:pStyle w:val="ListParagraph"/>
              <w:rPr>
                <w:rFonts w:ascii="Arial" w:eastAsia="Franklin Gothic Book" w:hAnsi="Arial" w:cs="Arial"/>
              </w:rPr>
            </w:pPr>
          </w:p>
          <w:p w:rsidR="004C2EB8" w:rsidRPr="0037246E" w:rsidRDefault="004C2EB8" w:rsidP="000371C3">
            <w:pPr>
              <w:pStyle w:val="ListParagraph"/>
              <w:rPr>
                <w:rFonts w:ascii="Arial" w:eastAsia="Franklin Gothic Book" w:hAnsi="Arial" w:cs="Arial"/>
              </w:rPr>
            </w:pPr>
            <w:r>
              <w:rPr>
                <w:rFonts w:ascii="Arial" w:eastAsia="Franklin Gothic Book" w:hAnsi="Arial" w:cs="Arial"/>
              </w:rPr>
              <w:t>MC</w:t>
            </w:r>
          </w:p>
        </w:tc>
      </w:tr>
      <w:tr w:rsidR="00C022EE" w:rsidRPr="0037246E" w:rsidTr="00C54C1D">
        <w:tc>
          <w:tcPr>
            <w:tcW w:w="3284" w:type="dxa"/>
          </w:tcPr>
          <w:p w:rsidR="00C022EE" w:rsidRPr="0037246E" w:rsidRDefault="00C022EE" w:rsidP="000371C3">
            <w:pPr>
              <w:pStyle w:val="Default"/>
              <w:rPr>
                <w:color w:val="auto"/>
                <w:sz w:val="22"/>
                <w:szCs w:val="22"/>
              </w:rPr>
            </w:pPr>
            <w:r w:rsidRPr="0037246E">
              <w:rPr>
                <w:color w:val="auto"/>
                <w:sz w:val="22"/>
                <w:szCs w:val="22"/>
              </w:rPr>
              <w:t>HMRC (VAT Registration)</w:t>
            </w:r>
          </w:p>
        </w:tc>
        <w:tc>
          <w:tcPr>
            <w:tcW w:w="5046" w:type="dxa"/>
          </w:tcPr>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The Union is registered with HMRC for the reporting and payment of VAT.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Payments are made in compliance with statutory timescales through quarterly returns</w:t>
            </w:r>
            <w:r w:rsidR="00F948FB">
              <w:rPr>
                <w:rFonts w:ascii="Arial" w:hAnsi="Arial" w:cs="Arial"/>
              </w:rPr>
              <w:t>.</w:t>
            </w:r>
          </w:p>
          <w:p w:rsidR="00C022EE" w:rsidRPr="0037246E" w:rsidRDefault="00C022EE" w:rsidP="00C022EE">
            <w:pPr>
              <w:pStyle w:val="ListParagraph"/>
              <w:numPr>
                <w:ilvl w:val="0"/>
                <w:numId w:val="3"/>
              </w:numPr>
              <w:spacing w:after="0" w:line="240" w:lineRule="auto"/>
              <w:rPr>
                <w:rFonts w:ascii="Arial" w:hAnsi="Arial" w:cs="Arial"/>
              </w:rPr>
            </w:pPr>
            <w:r w:rsidRPr="0037246E">
              <w:rPr>
                <w:rFonts w:ascii="Arial" w:hAnsi="Arial" w:cs="Arial"/>
              </w:rPr>
              <w:t>External audit includes compliance with requirements relating to VAT.</w:t>
            </w:r>
          </w:p>
        </w:tc>
        <w:tc>
          <w:tcPr>
            <w:tcW w:w="2352" w:type="dxa"/>
          </w:tcPr>
          <w:p w:rsidR="00C022EE" w:rsidRDefault="00C022EE" w:rsidP="000371C3">
            <w:pPr>
              <w:pStyle w:val="ListParagraph"/>
              <w:rPr>
                <w:rFonts w:ascii="Arial" w:eastAsia="Franklin Gothic Book" w:hAnsi="Arial" w:cs="Arial"/>
              </w:rPr>
            </w:pPr>
            <w:r w:rsidRPr="0037246E">
              <w:rPr>
                <w:rFonts w:ascii="Arial" w:eastAsia="Franklin Gothic Book" w:hAnsi="Arial" w:cs="Arial"/>
              </w:rPr>
              <w:t>MC</w:t>
            </w:r>
          </w:p>
          <w:p w:rsidR="004C2EB8" w:rsidRDefault="004C2EB8" w:rsidP="000371C3">
            <w:pPr>
              <w:pStyle w:val="ListParagraph"/>
              <w:rPr>
                <w:rFonts w:ascii="Arial" w:eastAsia="Franklin Gothic Book" w:hAnsi="Arial" w:cs="Arial"/>
              </w:rPr>
            </w:pPr>
          </w:p>
          <w:p w:rsidR="004C2EB8" w:rsidRDefault="004C2EB8" w:rsidP="000371C3">
            <w:pPr>
              <w:pStyle w:val="ListParagraph"/>
              <w:rPr>
                <w:rFonts w:ascii="Arial" w:eastAsia="Franklin Gothic Book" w:hAnsi="Arial" w:cs="Arial"/>
              </w:rPr>
            </w:pPr>
            <w:r>
              <w:rPr>
                <w:rFonts w:ascii="Arial" w:eastAsia="Franklin Gothic Book" w:hAnsi="Arial" w:cs="Arial"/>
              </w:rPr>
              <w:t>MC</w:t>
            </w:r>
          </w:p>
          <w:p w:rsidR="004C2EB8" w:rsidRDefault="004C2EB8" w:rsidP="000371C3">
            <w:pPr>
              <w:pStyle w:val="ListParagraph"/>
              <w:rPr>
                <w:rFonts w:ascii="Arial" w:eastAsia="Franklin Gothic Book" w:hAnsi="Arial" w:cs="Arial"/>
              </w:rPr>
            </w:pPr>
          </w:p>
          <w:p w:rsidR="004C2EB8" w:rsidRDefault="004C2EB8" w:rsidP="000371C3">
            <w:pPr>
              <w:pStyle w:val="ListParagraph"/>
              <w:rPr>
                <w:rFonts w:ascii="Arial" w:eastAsia="Franklin Gothic Book" w:hAnsi="Arial" w:cs="Arial"/>
              </w:rPr>
            </w:pPr>
          </w:p>
          <w:p w:rsidR="004C2EB8" w:rsidRPr="0037246E" w:rsidRDefault="004C2EB8" w:rsidP="000371C3">
            <w:pPr>
              <w:pStyle w:val="ListParagraph"/>
              <w:rPr>
                <w:rFonts w:ascii="Arial" w:eastAsia="Franklin Gothic Book" w:hAnsi="Arial" w:cs="Arial"/>
              </w:rPr>
            </w:pPr>
            <w:r>
              <w:rPr>
                <w:rFonts w:ascii="Arial" w:eastAsia="Franklin Gothic Book" w:hAnsi="Arial" w:cs="Arial"/>
              </w:rPr>
              <w:t>MC</w:t>
            </w:r>
          </w:p>
        </w:tc>
      </w:tr>
    </w:tbl>
    <w:p w:rsidR="00C022EE" w:rsidRPr="0037246E" w:rsidRDefault="00F948FB" w:rsidP="00C022EE">
      <w:pPr>
        <w:rPr>
          <w:rFonts w:ascii="Arial" w:hAnsi="Arial" w:cs="Arial"/>
          <w:sz w:val="22"/>
          <w:szCs w:val="22"/>
        </w:rPr>
      </w:pPr>
      <w:r>
        <w:rPr>
          <w:rFonts w:ascii="Arial" w:hAnsi="Arial" w:cs="Arial"/>
          <w:sz w:val="22"/>
          <w:szCs w:val="22"/>
        </w:rPr>
        <w:br/>
      </w:r>
      <w:r>
        <w:rPr>
          <w:rFonts w:ascii="Arial" w:hAnsi="Arial" w:cs="Arial"/>
          <w:sz w:val="22"/>
          <w:szCs w:val="22"/>
        </w:rPr>
        <w:br/>
      </w:r>
    </w:p>
    <w:p w:rsidR="00196A1F" w:rsidRDefault="00C022EE" w:rsidP="00C022EE">
      <w:pPr>
        <w:rPr>
          <w:rFonts w:ascii="Arial" w:hAnsi="Arial" w:cs="Arial"/>
          <w:noProof/>
          <w:sz w:val="22"/>
          <w:szCs w:val="22"/>
          <w:lang w:eastAsia="en-GB"/>
        </w:rPr>
      </w:pPr>
      <w:r w:rsidRPr="0037246E">
        <w:rPr>
          <w:rFonts w:ascii="Arial" w:eastAsia="Franklin Gothic Book" w:hAnsi="Arial" w:cs="Arial"/>
          <w:sz w:val="22"/>
          <w:szCs w:val="22"/>
        </w:rPr>
        <w:t>Signed</w:t>
      </w:r>
      <w:r w:rsidR="00F948FB">
        <w:rPr>
          <w:rFonts w:ascii="Arial" w:eastAsia="Franklin Gothic Book" w:hAnsi="Arial" w:cs="Arial"/>
          <w:sz w:val="22"/>
          <w:szCs w:val="22"/>
        </w:rPr>
        <w:t>:</w:t>
      </w:r>
    </w:p>
    <w:p w:rsidR="00C022EE" w:rsidRPr="0037246E" w:rsidRDefault="00C022EE" w:rsidP="00C022EE">
      <w:pPr>
        <w:rPr>
          <w:rFonts w:ascii="Arial" w:eastAsia="Franklin Gothic Book" w:hAnsi="Arial" w:cs="Arial"/>
          <w:sz w:val="22"/>
          <w:szCs w:val="22"/>
        </w:rPr>
      </w:pPr>
      <w:r w:rsidRPr="0037246E">
        <w:rPr>
          <w:rFonts w:ascii="Arial" w:hAnsi="Arial" w:cs="Arial"/>
          <w:sz w:val="22"/>
          <w:szCs w:val="22"/>
        </w:rPr>
        <w:tab/>
      </w:r>
      <w:r w:rsidRPr="0037246E">
        <w:rPr>
          <w:rFonts w:ascii="Arial" w:hAnsi="Arial" w:cs="Arial"/>
          <w:sz w:val="22"/>
          <w:szCs w:val="22"/>
        </w:rPr>
        <w:tab/>
      </w:r>
      <w:r w:rsidRPr="0037246E">
        <w:rPr>
          <w:rFonts w:ascii="Arial" w:hAnsi="Arial" w:cs="Arial"/>
          <w:sz w:val="22"/>
          <w:szCs w:val="22"/>
        </w:rPr>
        <w:tab/>
      </w:r>
      <w:r w:rsidRPr="0037246E">
        <w:rPr>
          <w:rFonts w:ascii="Arial" w:hAnsi="Arial" w:cs="Arial"/>
          <w:sz w:val="22"/>
          <w:szCs w:val="22"/>
        </w:rPr>
        <w:tab/>
      </w:r>
      <w:r w:rsidRPr="0037246E">
        <w:rPr>
          <w:rFonts w:ascii="Arial" w:hAnsi="Arial" w:cs="Arial"/>
          <w:sz w:val="22"/>
          <w:szCs w:val="22"/>
        </w:rPr>
        <w:tab/>
      </w:r>
      <w:r w:rsidR="00196A1F">
        <w:rPr>
          <w:rFonts w:ascii="Arial" w:hAnsi="Arial" w:cs="Arial"/>
          <w:sz w:val="22"/>
          <w:szCs w:val="22"/>
        </w:rPr>
        <w:tab/>
      </w:r>
      <w:r w:rsidR="00196A1F">
        <w:rPr>
          <w:rFonts w:ascii="Arial" w:hAnsi="Arial" w:cs="Arial"/>
          <w:sz w:val="22"/>
          <w:szCs w:val="22"/>
        </w:rPr>
        <w:tab/>
      </w:r>
      <w:r w:rsidR="00196A1F">
        <w:rPr>
          <w:rFonts w:ascii="Arial" w:hAnsi="Arial" w:cs="Arial"/>
          <w:sz w:val="22"/>
          <w:szCs w:val="22"/>
        </w:rPr>
        <w:tab/>
      </w:r>
      <w:r w:rsidR="00196A1F">
        <w:rPr>
          <w:rFonts w:ascii="Arial" w:hAnsi="Arial" w:cs="Arial"/>
          <w:sz w:val="22"/>
          <w:szCs w:val="22"/>
        </w:rPr>
        <w:tab/>
      </w:r>
      <w:r w:rsidRPr="0037246E">
        <w:rPr>
          <w:rFonts w:ascii="Arial" w:eastAsia="Franklin Gothic Book" w:hAnsi="Arial" w:cs="Arial"/>
          <w:sz w:val="22"/>
          <w:szCs w:val="22"/>
        </w:rPr>
        <w:t>Date</w:t>
      </w:r>
      <w:r>
        <w:rPr>
          <w:rFonts w:ascii="Arial" w:eastAsia="Franklin Gothic Book" w:hAnsi="Arial" w:cs="Arial"/>
          <w:sz w:val="22"/>
          <w:szCs w:val="22"/>
        </w:rPr>
        <w:t xml:space="preserve">: </w:t>
      </w:r>
      <w:r w:rsidR="00196A1F">
        <w:rPr>
          <w:rFonts w:ascii="Arial" w:eastAsia="Franklin Gothic Book" w:hAnsi="Arial" w:cs="Arial"/>
          <w:sz w:val="22"/>
          <w:szCs w:val="22"/>
        </w:rPr>
        <w:t>1</w:t>
      </w:r>
      <w:r w:rsidR="0072081B">
        <w:rPr>
          <w:rFonts w:ascii="Arial" w:eastAsia="Franklin Gothic Book" w:hAnsi="Arial" w:cs="Arial"/>
          <w:sz w:val="22"/>
          <w:szCs w:val="22"/>
        </w:rPr>
        <w:t>2</w:t>
      </w:r>
      <w:r w:rsidR="00196A1F" w:rsidRPr="00196A1F">
        <w:rPr>
          <w:rFonts w:ascii="Arial" w:eastAsia="Franklin Gothic Book" w:hAnsi="Arial" w:cs="Arial"/>
          <w:sz w:val="22"/>
          <w:szCs w:val="22"/>
          <w:vertAlign w:val="superscript"/>
        </w:rPr>
        <w:t>th</w:t>
      </w:r>
      <w:r w:rsidR="00196A1F">
        <w:rPr>
          <w:rFonts w:ascii="Arial" w:eastAsia="Franklin Gothic Book" w:hAnsi="Arial" w:cs="Arial"/>
          <w:sz w:val="22"/>
          <w:szCs w:val="22"/>
        </w:rPr>
        <w:t xml:space="preserve"> June 2019</w:t>
      </w:r>
    </w:p>
    <w:p w:rsidR="00C022EE" w:rsidRPr="0037246E" w:rsidRDefault="00C022EE" w:rsidP="00C022EE">
      <w:pPr>
        <w:rPr>
          <w:rFonts w:ascii="Arial" w:hAnsi="Arial" w:cs="Arial"/>
          <w:b/>
          <w:sz w:val="22"/>
          <w:szCs w:val="22"/>
        </w:rPr>
      </w:pPr>
      <w:r w:rsidRPr="0037246E">
        <w:rPr>
          <w:rFonts w:ascii="Arial" w:hAnsi="Arial" w:cs="Arial"/>
          <w:b/>
          <w:sz w:val="22"/>
          <w:szCs w:val="22"/>
        </w:rPr>
        <w:t>Jacqui Clements, Chief Executive</w:t>
      </w:r>
    </w:p>
    <w:p w:rsidR="00794DD8" w:rsidRPr="00F948FB" w:rsidRDefault="00794DD8" w:rsidP="00F948FB">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32"/>
          <w:szCs w:val="32"/>
          <w:lang w:val="en-US" w:eastAsia="en-GB"/>
        </w:rPr>
      </w:pPr>
    </w:p>
    <w:sectPr w:rsidR="00794DD8" w:rsidRPr="00F948FB" w:rsidSect="0030625A">
      <w:headerReference w:type="default" r:id="rId7"/>
      <w:footerReference w:type="default" r:id="rId8"/>
      <w:headerReference w:type="first" r:id="rId9"/>
      <w:footerReference w:type="first" r:id="rId10"/>
      <w:pgSz w:w="11906" w:h="16838"/>
      <w:pgMar w:top="851" w:right="677" w:bottom="1584" w:left="6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B8" w:rsidRDefault="004C2EB8" w:rsidP="00395561">
      <w:r>
        <w:separator/>
      </w:r>
    </w:p>
  </w:endnote>
  <w:endnote w:type="continuationSeparator" w:id="0">
    <w:p w:rsidR="004C2EB8" w:rsidRDefault="004C2EB8"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Book,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42"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514"/>
      <w:gridCol w:w="3514"/>
    </w:tblGrid>
    <w:tr w:rsidR="004C2EB8" w:rsidRPr="003137DF" w:rsidTr="003137DF">
      <w:trPr>
        <w:trHeight w:val="360"/>
      </w:trPr>
      <w:tc>
        <w:tcPr>
          <w:tcW w:w="3514" w:type="dxa"/>
        </w:tcPr>
        <w:p w:rsidR="004C2EB8" w:rsidRPr="003137DF" w:rsidRDefault="004C2EB8" w:rsidP="000371C3">
          <w:pPr>
            <w:pStyle w:val="Body"/>
            <w:rPr>
              <w:sz w:val="20"/>
              <w:szCs w:val="20"/>
            </w:rPr>
          </w:pPr>
          <w:r>
            <w:rPr>
              <w:sz w:val="20"/>
              <w:szCs w:val="20"/>
            </w:rPr>
            <w:t xml:space="preserve">Annual Statement of Legal Compliance </w:t>
          </w:r>
        </w:p>
      </w:tc>
      <w:tc>
        <w:tcPr>
          <w:tcW w:w="3514" w:type="dxa"/>
        </w:tcPr>
        <w:p w:rsidR="004C2EB8" w:rsidRPr="003137DF" w:rsidRDefault="0035102E" w:rsidP="00196A1F">
          <w:pPr>
            <w:pStyle w:val="Body"/>
            <w:jc w:val="center"/>
            <w:rPr>
              <w:sz w:val="20"/>
              <w:szCs w:val="20"/>
            </w:rPr>
          </w:pPr>
          <w:r>
            <w:rPr>
              <w:sz w:val="20"/>
              <w:szCs w:val="20"/>
            </w:rPr>
            <w:t>June 2019</w:t>
          </w:r>
        </w:p>
      </w:tc>
      <w:tc>
        <w:tcPr>
          <w:tcW w:w="3514" w:type="dxa"/>
        </w:tcPr>
        <w:p w:rsidR="004C2EB8" w:rsidRPr="003137DF" w:rsidRDefault="004C2EB8" w:rsidP="000371C3">
          <w:pPr>
            <w:pStyle w:val="Body"/>
            <w:jc w:val="right"/>
            <w:rPr>
              <w:sz w:val="20"/>
              <w:szCs w:val="20"/>
            </w:rPr>
          </w:pPr>
          <w:r>
            <w:rPr>
              <w:sz w:val="20"/>
              <w:szCs w:val="20"/>
            </w:rPr>
            <w:t>Jacqui Clements</w:t>
          </w:r>
        </w:p>
      </w:tc>
    </w:tr>
  </w:tbl>
  <w:p w:rsidR="004C2EB8" w:rsidRPr="00395561" w:rsidRDefault="004C2EB8" w:rsidP="00395561">
    <w:pPr>
      <w:pStyle w:val="Footer"/>
      <w:ind w:left="-680" w:right="-65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514"/>
      <w:gridCol w:w="3514"/>
    </w:tblGrid>
    <w:tr w:rsidR="004C2EB8" w:rsidRPr="003137DF" w:rsidTr="006B0732">
      <w:trPr>
        <w:trHeight w:val="360"/>
      </w:trPr>
      <w:tc>
        <w:tcPr>
          <w:tcW w:w="3514" w:type="dxa"/>
        </w:tcPr>
        <w:p w:rsidR="004C2EB8" w:rsidRPr="003137DF" w:rsidRDefault="004C2EB8" w:rsidP="006B0732">
          <w:pPr>
            <w:pStyle w:val="Body"/>
            <w:rPr>
              <w:sz w:val="20"/>
              <w:szCs w:val="20"/>
            </w:rPr>
          </w:pPr>
          <w:r>
            <w:rPr>
              <w:sz w:val="20"/>
              <w:szCs w:val="20"/>
            </w:rPr>
            <w:t>Annual Statement of Legal Compliance</w:t>
          </w:r>
        </w:p>
      </w:tc>
      <w:tc>
        <w:tcPr>
          <w:tcW w:w="3514" w:type="dxa"/>
        </w:tcPr>
        <w:p w:rsidR="004C2EB8" w:rsidRPr="003137DF" w:rsidRDefault="0035102E" w:rsidP="0072081B">
          <w:pPr>
            <w:pStyle w:val="Body"/>
            <w:jc w:val="center"/>
            <w:rPr>
              <w:sz w:val="20"/>
              <w:szCs w:val="20"/>
            </w:rPr>
          </w:pPr>
          <w:r>
            <w:rPr>
              <w:sz w:val="20"/>
              <w:szCs w:val="20"/>
            </w:rPr>
            <w:t>June 2019</w:t>
          </w:r>
        </w:p>
      </w:tc>
      <w:tc>
        <w:tcPr>
          <w:tcW w:w="3514" w:type="dxa"/>
        </w:tcPr>
        <w:p w:rsidR="004C2EB8" w:rsidRPr="003137DF" w:rsidRDefault="004C2EB8" w:rsidP="006B0732">
          <w:pPr>
            <w:pStyle w:val="Body"/>
            <w:jc w:val="right"/>
            <w:rPr>
              <w:sz w:val="20"/>
              <w:szCs w:val="20"/>
            </w:rPr>
          </w:pPr>
          <w:r>
            <w:rPr>
              <w:sz w:val="20"/>
              <w:szCs w:val="20"/>
            </w:rPr>
            <w:t>Jacqui Clements</w:t>
          </w:r>
        </w:p>
      </w:tc>
    </w:tr>
  </w:tbl>
  <w:p w:rsidR="004C2EB8" w:rsidRPr="003137DF" w:rsidRDefault="004C2EB8" w:rsidP="006B0732">
    <w:pPr>
      <w:pStyle w:val="Body"/>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B8" w:rsidRDefault="004C2EB8" w:rsidP="00395561">
      <w:r>
        <w:separator/>
      </w:r>
    </w:p>
  </w:footnote>
  <w:footnote w:type="continuationSeparator" w:id="0">
    <w:p w:rsidR="004C2EB8" w:rsidRDefault="004C2EB8"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B8" w:rsidRDefault="004C2EB8" w:rsidP="00395561">
    <w:pPr>
      <w:pStyle w:val="Header"/>
      <w:ind w:left="-680" w:right="-6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B8" w:rsidRDefault="004C2EB8">
    <w:pPr>
      <w:pStyle w:val="Header"/>
    </w:pPr>
    <w:r>
      <w:rPr>
        <w:noProof/>
      </w:rPr>
      <w:drawing>
        <wp:anchor distT="0" distB="0" distL="114300" distR="114300" simplePos="0" relativeHeight="251658240" behindDoc="1" locked="0" layoutInCell="1" allowOverlap="1" wp14:anchorId="4C4853DB" wp14:editId="7BFEB56B">
          <wp:simplePos x="0" y="0"/>
          <wp:positionH relativeFrom="column">
            <wp:posOffset>-433546</wp:posOffset>
          </wp:positionH>
          <wp:positionV relativeFrom="paragraph">
            <wp:posOffset>2540</wp:posOffset>
          </wp:positionV>
          <wp:extent cx="7562088" cy="1801657"/>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513 headers v014.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8016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8BD"/>
    <w:multiLevelType w:val="hybridMultilevel"/>
    <w:tmpl w:val="9B16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11765"/>
    <w:multiLevelType w:val="hybridMultilevel"/>
    <w:tmpl w:val="CC72EC10"/>
    <w:lvl w:ilvl="0" w:tplc="217C109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F76F1"/>
    <w:multiLevelType w:val="hybridMultilevel"/>
    <w:tmpl w:val="B1B0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16D05"/>
    <w:multiLevelType w:val="hybridMultilevel"/>
    <w:tmpl w:val="FE7E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EE"/>
    <w:rsid w:val="00001FAE"/>
    <w:rsid w:val="000114F6"/>
    <w:rsid w:val="000155FC"/>
    <w:rsid w:val="000371C3"/>
    <w:rsid w:val="00056F73"/>
    <w:rsid w:val="00093AAA"/>
    <w:rsid w:val="000B7722"/>
    <w:rsid w:val="001858E4"/>
    <w:rsid w:val="00196A1F"/>
    <w:rsid w:val="001B13C2"/>
    <w:rsid w:val="002C55F6"/>
    <w:rsid w:val="0030625A"/>
    <w:rsid w:val="003137DF"/>
    <w:rsid w:val="003435D7"/>
    <w:rsid w:val="0035102E"/>
    <w:rsid w:val="00381D60"/>
    <w:rsid w:val="00395561"/>
    <w:rsid w:val="003D0FAC"/>
    <w:rsid w:val="003F7016"/>
    <w:rsid w:val="0042760D"/>
    <w:rsid w:val="004431CA"/>
    <w:rsid w:val="004C2EB8"/>
    <w:rsid w:val="004F6E7A"/>
    <w:rsid w:val="0055002D"/>
    <w:rsid w:val="00632579"/>
    <w:rsid w:val="006B0732"/>
    <w:rsid w:val="006B7E0E"/>
    <w:rsid w:val="0072081B"/>
    <w:rsid w:val="00781E53"/>
    <w:rsid w:val="00794DD8"/>
    <w:rsid w:val="00915A18"/>
    <w:rsid w:val="00AA55E0"/>
    <w:rsid w:val="00C022EE"/>
    <w:rsid w:val="00C54C1D"/>
    <w:rsid w:val="00DA125A"/>
    <w:rsid w:val="00DC39A1"/>
    <w:rsid w:val="00DD5E74"/>
    <w:rsid w:val="00E718AF"/>
    <w:rsid w:val="00E92E8C"/>
    <w:rsid w:val="00E95F46"/>
    <w:rsid w:val="00EA07DF"/>
    <w:rsid w:val="00F948FB"/>
    <w:rsid w:val="00FD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CA5772"/>
  <w15:chartTrackingRefBased/>
  <w15:docId w15:val="{C6995D5F-5007-4C86-8821-0B1F93BE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character" w:customStyle="1" w:styleId="HeadingChar">
    <w:name w:val="Heading Char"/>
    <w:basedOn w:val="DefaultParagraphFont"/>
    <w:link w:val="Heading"/>
    <w:locked/>
    <w:rsid w:val="00AA55E0"/>
    <w:rPr>
      <w:rFonts w:ascii="Arial" w:hAnsi="Arial" w:cs="Arial"/>
      <w:b/>
      <w:color w:val="000000"/>
      <w:sz w:val="68"/>
      <w:szCs w:val="68"/>
      <w:lang w:eastAsia="en-US"/>
    </w:rPr>
  </w:style>
  <w:style w:type="paragraph" w:customStyle="1" w:styleId="Heading">
    <w:name w:val="Heading"/>
    <w:basedOn w:val="Normal"/>
    <w:link w:val="HeadingChar"/>
    <w:autoRedefine/>
    <w:qFormat/>
    <w:rsid w:val="00AA55E0"/>
    <w:pPr>
      <w:pBdr>
        <w:top w:val="none" w:sz="0" w:space="0" w:color="auto"/>
        <w:left w:val="none" w:sz="0" w:space="0" w:color="auto"/>
        <w:bottom w:val="none" w:sz="0" w:space="0" w:color="auto"/>
        <w:right w:val="none" w:sz="0" w:space="0" w:color="auto"/>
        <w:between w:val="none" w:sz="0" w:space="0" w:color="auto"/>
      </w:pBdr>
      <w:spacing w:after="240"/>
    </w:pPr>
    <w:rPr>
      <w:rFonts w:ascii="Arial" w:hAnsi="Arial" w:cs="Arial"/>
      <w:b/>
      <w:sz w:val="68"/>
      <w:szCs w:val="68"/>
    </w:rPr>
  </w:style>
  <w:style w:type="character" w:customStyle="1" w:styleId="BodyChar">
    <w:name w:val="Body Char"/>
    <w:basedOn w:val="DefaultParagraphFont"/>
    <w:link w:val="Body"/>
    <w:locked/>
    <w:rsid w:val="006B0732"/>
    <w:rPr>
      <w:rFonts w:ascii="Arial" w:hAnsi="Arial" w:cs="Arial"/>
      <w:color w:val="000000"/>
      <w:sz w:val="22"/>
      <w:szCs w:val="22"/>
    </w:rPr>
  </w:style>
  <w:style w:type="paragraph" w:customStyle="1" w:styleId="Body">
    <w:name w:val="Body"/>
    <w:basedOn w:val="Normal"/>
    <w:link w:val="BodyChar"/>
    <w:autoRedefine/>
    <w:qFormat/>
    <w:rsid w:val="006B07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pPr>
    <w:rPr>
      <w:rFonts w:ascii="Arial" w:hAnsi="Arial" w:cs="Arial"/>
      <w:sz w:val="22"/>
      <w:szCs w:val="22"/>
      <w:lang w:eastAsia="en-GB"/>
    </w:rPr>
  </w:style>
  <w:style w:type="character" w:customStyle="1" w:styleId="SubHeadingChar">
    <w:name w:val="Sub Heading Char"/>
    <w:basedOn w:val="DefaultParagraphFont"/>
    <w:link w:val="SubHeading"/>
    <w:locked/>
    <w:rsid w:val="0030625A"/>
    <w:rPr>
      <w:rFonts w:ascii="Arial" w:hAnsi="Arial" w:cs="Arial"/>
      <w:b/>
      <w:color w:val="000000"/>
      <w:sz w:val="32"/>
      <w:szCs w:val="32"/>
      <w:lang w:val="en-US"/>
    </w:rPr>
  </w:style>
  <w:style w:type="paragraph" w:customStyle="1" w:styleId="SubHeading">
    <w:name w:val="Sub Heading"/>
    <w:basedOn w:val="Normal"/>
    <w:link w:val="SubHeadingChar"/>
    <w:autoRedefine/>
    <w:qFormat/>
    <w:rsid w:val="003062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80" w:line="276" w:lineRule="auto"/>
    </w:pPr>
    <w:rPr>
      <w:rFonts w:ascii="Arial" w:hAnsi="Arial" w:cs="Arial"/>
      <w:b/>
      <w:sz w:val="32"/>
      <w:szCs w:val="32"/>
      <w:lang w:val="en-US" w:eastAsia="en-GB"/>
    </w:rPr>
  </w:style>
  <w:style w:type="paragraph" w:customStyle="1" w:styleId="Address">
    <w:name w:val="Address"/>
    <w:basedOn w:val="Normal"/>
    <w:link w:val="AddressChar"/>
    <w:autoRedefine/>
    <w:qFormat/>
    <w:rsid w:val="00794DD8"/>
    <w:pPr>
      <w:outlineLvl w:val="0"/>
    </w:pPr>
    <w:rPr>
      <w:rFonts w:ascii="Arial" w:eastAsia="Arial" w:hAnsi="Arial" w:cs="Arial"/>
      <w:sz w:val="22"/>
      <w:szCs w:val="22"/>
    </w:rPr>
  </w:style>
  <w:style w:type="character" w:customStyle="1" w:styleId="AddressChar">
    <w:name w:val="Address Char"/>
    <w:basedOn w:val="DefaultParagraphFont"/>
    <w:link w:val="Address"/>
    <w:rsid w:val="00794DD8"/>
    <w:rPr>
      <w:rFonts w:ascii="Arial" w:eastAsia="Arial" w:hAnsi="Arial" w:cs="Arial"/>
      <w:color w:val="000000"/>
      <w:sz w:val="22"/>
      <w:szCs w:val="22"/>
      <w:lang w:eastAsia="en-US"/>
    </w:rPr>
  </w:style>
  <w:style w:type="table" w:styleId="TableGrid">
    <w:name w:val="Table Grid"/>
    <w:basedOn w:val="TableNormal"/>
    <w:uiPriority w:val="39"/>
    <w:rsid w:val="006B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2EE"/>
    <w:pPr>
      <w:autoSpaceDE w:val="0"/>
      <w:autoSpaceDN w:val="0"/>
      <w:adjustRightInd w:val="0"/>
    </w:pPr>
    <w:rPr>
      <w:rFonts w:ascii="Arial" w:eastAsiaTheme="minorEastAsia" w:hAnsi="Arial" w:cs="Arial"/>
      <w:color w:val="000000"/>
      <w:sz w:val="24"/>
      <w:szCs w:val="24"/>
      <w:lang w:eastAsia="zh-TW"/>
    </w:rPr>
  </w:style>
  <w:style w:type="paragraph" w:styleId="ListParagraph">
    <w:name w:val="List Paragraph"/>
    <w:basedOn w:val="Normal"/>
    <w:uiPriority w:val="34"/>
    <w:qFormat/>
    <w:rsid w:val="00C022EE"/>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EastAsia" w:hAnsiTheme="minorHAnsi" w:cstheme="minorBidi"/>
      <w:color w:val="auto"/>
      <w:sz w:val="22"/>
      <w:szCs w:val="22"/>
      <w:lang w:eastAsia="zh-TW"/>
    </w:rPr>
  </w:style>
  <w:style w:type="paragraph" w:styleId="BalloonText">
    <w:name w:val="Balloon Text"/>
    <w:basedOn w:val="Normal"/>
    <w:link w:val="BalloonTextChar"/>
    <w:semiHidden/>
    <w:unhideWhenUsed/>
    <w:rsid w:val="000371C3"/>
    <w:rPr>
      <w:rFonts w:ascii="Segoe UI" w:hAnsi="Segoe UI" w:cs="Segoe UI"/>
      <w:sz w:val="18"/>
      <w:szCs w:val="18"/>
    </w:rPr>
  </w:style>
  <w:style w:type="character" w:customStyle="1" w:styleId="BalloonTextChar">
    <w:name w:val="Balloon Text Char"/>
    <w:basedOn w:val="DefaultParagraphFont"/>
    <w:link w:val="BalloonText"/>
    <w:semiHidden/>
    <w:rsid w:val="000371C3"/>
    <w:rPr>
      <w:rFonts w:ascii="Segoe UI" w:hAnsi="Segoe UI" w:cs="Segoe UI"/>
      <w:color w:val="000000"/>
      <w:sz w:val="18"/>
      <w:szCs w:val="18"/>
      <w:lang w:eastAsia="en-US"/>
    </w:rPr>
  </w:style>
  <w:style w:type="character" w:styleId="CommentReference">
    <w:name w:val="annotation reference"/>
    <w:basedOn w:val="DefaultParagraphFont"/>
    <w:semiHidden/>
    <w:unhideWhenUsed/>
    <w:rsid w:val="00C54C1D"/>
    <w:rPr>
      <w:sz w:val="16"/>
      <w:szCs w:val="16"/>
    </w:rPr>
  </w:style>
  <w:style w:type="paragraph" w:styleId="CommentText">
    <w:name w:val="annotation text"/>
    <w:basedOn w:val="Normal"/>
    <w:link w:val="CommentTextChar"/>
    <w:semiHidden/>
    <w:unhideWhenUsed/>
    <w:rsid w:val="00C54C1D"/>
    <w:rPr>
      <w:sz w:val="20"/>
      <w:szCs w:val="20"/>
    </w:rPr>
  </w:style>
  <w:style w:type="character" w:customStyle="1" w:styleId="CommentTextChar">
    <w:name w:val="Comment Text Char"/>
    <w:basedOn w:val="DefaultParagraphFont"/>
    <w:link w:val="CommentText"/>
    <w:semiHidden/>
    <w:rsid w:val="00C54C1D"/>
    <w:rPr>
      <w:color w:val="000000"/>
      <w:lang w:eastAsia="en-US"/>
    </w:rPr>
  </w:style>
  <w:style w:type="paragraph" w:styleId="CommentSubject">
    <w:name w:val="annotation subject"/>
    <w:basedOn w:val="CommentText"/>
    <w:next w:val="CommentText"/>
    <w:link w:val="CommentSubjectChar"/>
    <w:semiHidden/>
    <w:unhideWhenUsed/>
    <w:rsid w:val="00C54C1D"/>
    <w:rPr>
      <w:b/>
      <w:bCs/>
    </w:rPr>
  </w:style>
  <w:style w:type="character" w:customStyle="1" w:styleId="CommentSubjectChar">
    <w:name w:val="Comment Subject Char"/>
    <w:basedOn w:val="CommentTextChar"/>
    <w:link w:val="CommentSubject"/>
    <w:semiHidden/>
    <w:rsid w:val="00C54C1D"/>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library\templates\Current%20Templates\SU%20colour%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A9C12895EF84FA74D5057158A2B3A" ma:contentTypeVersion="2" ma:contentTypeDescription="Create a new document." ma:contentTypeScope="" ma:versionID="e4745324f8cb2aefab8e906e5f88da14">
  <xsd:schema xmlns:xsd="http://www.w3.org/2001/XMLSchema" xmlns:xs="http://www.w3.org/2001/XMLSchema" xmlns:p="http://schemas.microsoft.com/office/2006/metadata/properties" xmlns:ns2="cffe6039-f52e-4ffb-b16c-2a7f8ddf268c" targetNamespace="http://schemas.microsoft.com/office/2006/metadata/properties" ma:root="true" ma:fieldsID="45b8c0b32fda0f65635663a9b3b72ceb" ns2:_="">
    <xsd:import namespace="cffe6039-f52e-4ffb-b16c-2a7f8ddf26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e6039-f52e-4ffb-b16c-2a7f8ddf2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598D0-55FB-48C2-BB49-DD216BE6B747}"/>
</file>

<file path=customXml/itemProps2.xml><?xml version="1.0" encoding="utf-8"?>
<ds:datastoreItem xmlns:ds="http://schemas.openxmlformats.org/officeDocument/2006/customXml" ds:itemID="{DD074112-F3DB-423A-AE0D-A10953D81490}"/>
</file>

<file path=customXml/itemProps3.xml><?xml version="1.0" encoding="utf-8"?>
<ds:datastoreItem xmlns:ds="http://schemas.openxmlformats.org/officeDocument/2006/customXml" ds:itemID="{80BC4810-F0CC-4AA7-AF47-22B880E9FBC8}"/>
</file>

<file path=docProps/app.xml><?xml version="1.0" encoding="utf-8"?>
<Properties xmlns="http://schemas.openxmlformats.org/officeDocument/2006/extended-properties" xmlns:vt="http://schemas.openxmlformats.org/officeDocument/2006/docPropsVTypes">
  <Template>SU colour report template</Template>
  <TotalTime>1</TotalTime>
  <Pages>5</Pages>
  <Words>1454</Words>
  <Characters>8030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Leckenby</dc:creator>
  <cp:keywords/>
  <dc:description/>
  <cp:lastModifiedBy>Marie Claire Churchill</cp:lastModifiedBy>
  <cp:revision>2</cp:revision>
  <cp:lastPrinted>2019-07-17T08:41:00Z</cp:lastPrinted>
  <dcterms:created xsi:type="dcterms:W3CDTF">2019-07-17T08:42:00Z</dcterms:created>
  <dcterms:modified xsi:type="dcterms:W3CDTF">2019-07-17T08:42:00Z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0x010100D6DA9C12895EF84FA74D5057158A2B3A</vt:lpwstr>
  </property>
</Properties>
</file>