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body>
    <w:p w:rsidRPr="00B02E6F" w:rsidR="00ED0EA5" w:rsidRDefault="00ED0EA5" w14:paraId="4C3F6FC1" w14:textId="77777777">
      <w:pPr>
        <w:rPr>
          <w:rFonts w:cstheme="minorHAnsi"/>
          <w:b/>
        </w:rPr>
      </w:pPr>
    </w:p>
    <w:p w:rsidRPr="00B02E6F" w:rsidR="00ED0EA5" w:rsidP="00ED0EA5" w:rsidRDefault="00ED0EA5" w14:paraId="7AB780DF" w14:textId="77777777">
      <w:pPr>
        <w:jc w:val="center"/>
        <w:rPr>
          <w:rFonts w:cstheme="minorHAnsi"/>
        </w:rPr>
      </w:pPr>
      <w:r w:rsidRPr="00B02E6F">
        <w:rPr>
          <w:rFonts w:cstheme="minorHAnsi"/>
          <w:noProof/>
          <w:lang w:eastAsia="en-GB"/>
        </w:rPr>
        <w:drawing>
          <wp:inline distT="0" distB="0" distL="0" distR="0" wp14:anchorId="42D4B1C6" wp14:editId="74B4BF6F">
            <wp:extent cx="1266825" cy="647700"/>
            <wp:effectExtent l="19050" t="0" r="9525" b="0"/>
            <wp:docPr id="5" name="Picture 1" descr="small_BLAC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ll_BLACK_RG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Pr="00B02E6F" w:rsidR="00ED0EA5" w:rsidP="00ED0EA5" w:rsidRDefault="00ED0EA5" w14:paraId="6CD7E751" w14:textId="77777777">
      <w:pPr>
        <w:pStyle w:val="Default"/>
        <w:rPr>
          <w:rFonts w:asciiTheme="minorHAnsi" w:hAnsiTheme="minorHAnsi" w:cstheme="minorHAnsi"/>
          <w:color w:val="auto"/>
        </w:rPr>
      </w:pPr>
    </w:p>
    <w:p w:rsidRPr="00B02E6F" w:rsidR="00ED0EA5" w:rsidP="00ED0EA5" w:rsidRDefault="00ED0EA5" w14:paraId="31D1F574" w14:textId="74EF556F">
      <w:pPr>
        <w:jc w:val="center"/>
        <w:rPr>
          <w:rFonts w:cstheme="minorHAnsi"/>
          <w:b/>
          <w:bCs/>
          <w:sz w:val="28"/>
          <w:szCs w:val="28"/>
        </w:rPr>
      </w:pPr>
      <w:r w:rsidRPr="00B02E6F">
        <w:rPr>
          <w:rFonts w:cstheme="minorHAnsi"/>
        </w:rPr>
        <w:t xml:space="preserve"> </w:t>
      </w:r>
      <w:r w:rsidRPr="00B02E6F">
        <w:rPr>
          <w:rFonts w:cstheme="minorHAnsi"/>
          <w:b/>
          <w:bCs/>
          <w:sz w:val="28"/>
          <w:szCs w:val="28"/>
        </w:rPr>
        <w:t xml:space="preserve">Imperial College Union </w:t>
      </w:r>
      <w:r w:rsidRPr="00B02E6F">
        <w:rPr>
          <w:rFonts w:cstheme="minorHAnsi"/>
          <w:b/>
          <w:bCs/>
          <w:sz w:val="28"/>
          <w:szCs w:val="28"/>
        </w:rPr>
        <w:t>Finance &amp; Risk</w:t>
      </w:r>
      <w:r w:rsidRPr="00B02E6F">
        <w:rPr>
          <w:rFonts w:cstheme="minorHAnsi"/>
          <w:b/>
          <w:bCs/>
          <w:sz w:val="28"/>
          <w:szCs w:val="28"/>
        </w:rPr>
        <w:t xml:space="preserve"> Committee </w:t>
      </w:r>
    </w:p>
    <w:p w:rsidRPr="00B02E6F" w:rsidR="00ED0EA5" w:rsidP="00ED0EA5" w:rsidRDefault="00ED0EA5" w14:paraId="5EC233B0" w14:textId="5521029A">
      <w:pPr>
        <w:jc w:val="center"/>
        <w:rPr>
          <w:rFonts w:cstheme="minorHAnsi"/>
          <w:b/>
          <w:bCs/>
          <w:sz w:val="28"/>
          <w:szCs w:val="28"/>
        </w:rPr>
      </w:pPr>
      <w:r w:rsidRPr="00B02E6F">
        <w:rPr>
          <w:rFonts w:cstheme="minorHAnsi"/>
          <w:b/>
          <w:bCs/>
          <w:sz w:val="28"/>
          <w:szCs w:val="28"/>
        </w:rPr>
        <w:t>5 February 2020</w:t>
      </w:r>
    </w:p>
    <w:p w:rsidRPr="00B02E6F" w:rsidR="00ED0EA5" w:rsidP="00ED0EA5" w:rsidRDefault="00ED0EA5" w14:paraId="6E6DC2C2" w14:textId="77777777">
      <w:pPr>
        <w:jc w:val="center"/>
        <w:rPr>
          <w:rFonts w:cstheme="minorHAnsi"/>
          <w:b/>
          <w:bCs/>
          <w:sz w:val="28"/>
          <w:szCs w:val="28"/>
        </w:rPr>
      </w:pPr>
    </w:p>
    <w:tbl>
      <w:tblPr>
        <w:tblStyle w:val="TableGrid"/>
        <w:tblW w:w="8548" w:type="dxa"/>
        <w:jc w:val="center"/>
        <w:tblLook w:val="04A0" w:firstRow="1" w:lastRow="0" w:firstColumn="1" w:lastColumn="0" w:noHBand="0" w:noVBand="1"/>
      </w:tblPr>
      <w:tblGrid>
        <w:gridCol w:w="4274"/>
        <w:gridCol w:w="4274"/>
      </w:tblGrid>
      <w:tr w:rsidRPr="00B02E6F" w:rsidR="00ED0EA5" w:rsidTr="001B3255" w14:paraId="5D86AB5C" w14:textId="77777777">
        <w:trPr>
          <w:trHeight w:val="219"/>
          <w:jc w:val="center"/>
        </w:trPr>
        <w:tc>
          <w:tcPr>
            <w:tcW w:w="4274" w:type="dxa"/>
          </w:tcPr>
          <w:p w:rsidRPr="00B02E6F" w:rsidR="00ED0EA5" w:rsidP="0027335E" w:rsidRDefault="00ED0EA5" w14:paraId="5B45CAE4" w14:textId="77777777">
            <w:pPr>
              <w:rPr>
                <w:rFonts w:cstheme="minorHAnsi"/>
                <w:b/>
                <w:sz w:val="28"/>
                <w:szCs w:val="28"/>
              </w:rPr>
            </w:pPr>
            <w:r w:rsidRPr="00B02E6F">
              <w:rPr>
                <w:rFonts w:cstheme="minorHAnsi"/>
                <w:b/>
                <w:sz w:val="28"/>
                <w:szCs w:val="28"/>
              </w:rPr>
              <w:t>AGENDA ITEM NO.</w:t>
            </w:r>
          </w:p>
        </w:tc>
        <w:tc>
          <w:tcPr>
            <w:tcW w:w="4274" w:type="dxa"/>
          </w:tcPr>
          <w:p w:rsidR="00ED0EA5" w:rsidP="0027335E" w:rsidRDefault="00ED0EA5" w14:paraId="2366B43D" w14:textId="77777777">
            <w:pPr>
              <w:rPr>
                <w:rFonts w:cstheme="minorHAnsi"/>
              </w:rPr>
            </w:pPr>
          </w:p>
          <w:p w:rsidRPr="00B02E6F" w:rsidR="001922AB" w:rsidP="0027335E" w:rsidRDefault="001922AB" w14:paraId="1F857282" w14:textId="16FDD87B">
            <w:pPr>
              <w:rPr>
                <w:rFonts w:cstheme="minorHAnsi"/>
              </w:rPr>
            </w:pPr>
          </w:p>
        </w:tc>
      </w:tr>
      <w:tr w:rsidRPr="00B02E6F" w:rsidR="00ED0EA5" w:rsidTr="001B3255" w14:paraId="52B0D99B" w14:textId="77777777">
        <w:trPr>
          <w:trHeight w:val="800"/>
          <w:jc w:val="center"/>
        </w:trPr>
        <w:tc>
          <w:tcPr>
            <w:tcW w:w="4274" w:type="dxa"/>
          </w:tcPr>
          <w:p w:rsidRPr="00B02E6F" w:rsidR="00ED0EA5" w:rsidP="0027335E" w:rsidRDefault="00ED0EA5" w14:paraId="1268C2DD" w14:textId="77777777">
            <w:pPr>
              <w:rPr>
                <w:rFonts w:cstheme="minorHAnsi"/>
                <w:b/>
                <w:sz w:val="28"/>
                <w:szCs w:val="28"/>
              </w:rPr>
            </w:pPr>
            <w:r w:rsidRPr="00B02E6F">
              <w:rPr>
                <w:rFonts w:cstheme="minorHAnsi"/>
                <w:b/>
                <w:sz w:val="28"/>
                <w:szCs w:val="28"/>
              </w:rPr>
              <w:t>TITLE</w:t>
            </w:r>
          </w:p>
        </w:tc>
        <w:tc>
          <w:tcPr>
            <w:tcW w:w="4274" w:type="dxa"/>
          </w:tcPr>
          <w:p w:rsidRPr="00B02E6F" w:rsidR="00ED0EA5" w:rsidP="001922AB" w:rsidRDefault="00ED0EA5" w14:paraId="580854FA" w14:textId="60E727FE">
            <w:pPr>
              <w:jc w:val="center"/>
              <w:rPr>
                <w:rFonts w:cstheme="minorHAnsi"/>
              </w:rPr>
            </w:pPr>
            <w:r w:rsidRPr="00B02E6F">
              <w:rPr>
                <w:rFonts w:cstheme="minorHAnsi"/>
              </w:rPr>
              <w:t xml:space="preserve">Sales &amp; Sponsorship </w:t>
            </w:r>
            <w:r w:rsidRPr="00B02E6F">
              <w:rPr>
                <w:rFonts w:cstheme="minorHAnsi"/>
              </w:rPr>
              <w:t>Update</w:t>
            </w:r>
          </w:p>
        </w:tc>
      </w:tr>
      <w:tr w:rsidRPr="00B02E6F" w:rsidR="00ED0EA5" w:rsidTr="001B3255" w14:paraId="26BD1849" w14:textId="77777777">
        <w:trPr>
          <w:trHeight w:val="1250"/>
          <w:jc w:val="center"/>
        </w:trPr>
        <w:tc>
          <w:tcPr>
            <w:tcW w:w="4274" w:type="dxa"/>
          </w:tcPr>
          <w:p w:rsidRPr="00B02E6F" w:rsidR="00ED0EA5" w:rsidP="0027335E" w:rsidRDefault="00ED0EA5" w14:paraId="6598E087" w14:textId="77777777">
            <w:pPr>
              <w:rPr>
                <w:rFonts w:cstheme="minorHAnsi"/>
                <w:b/>
                <w:sz w:val="28"/>
                <w:szCs w:val="28"/>
              </w:rPr>
            </w:pPr>
            <w:r w:rsidRPr="00B02E6F">
              <w:rPr>
                <w:rFonts w:cstheme="minorHAnsi"/>
                <w:b/>
                <w:sz w:val="28"/>
                <w:szCs w:val="28"/>
              </w:rPr>
              <w:t>AUTHOR</w:t>
            </w:r>
          </w:p>
        </w:tc>
        <w:tc>
          <w:tcPr>
            <w:tcW w:w="4274" w:type="dxa"/>
          </w:tcPr>
          <w:p w:rsidR="001922AB" w:rsidP="001922AB" w:rsidRDefault="00ED0EA5" w14:paraId="01928DFB" w14:textId="77777777">
            <w:pPr>
              <w:jc w:val="center"/>
              <w:rPr>
                <w:rFonts w:cstheme="minorHAnsi"/>
              </w:rPr>
            </w:pPr>
            <w:r w:rsidRPr="00B02E6F">
              <w:rPr>
                <w:rFonts w:cstheme="minorHAnsi"/>
              </w:rPr>
              <w:t>Keriann Lee</w:t>
            </w:r>
          </w:p>
          <w:p w:rsidRPr="00B02E6F" w:rsidR="00ED0EA5" w:rsidP="001922AB" w:rsidRDefault="001922AB" w14:paraId="34EA975A" w14:textId="6E5D93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A925A8">
              <w:rPr>
                <w:rFonts w:cstheme="minorHAnsi"/>
              </w:rPr>
              <w:t>Head of Student Voice &amp; Communications</w:t>
            </w:r>
          </w:p>
        </w:tc>
      </w:tr>
      <w:tr w:rsidRPr="00B02E6F" w:rsidR="00ED0EA5" w:rsidTr="001B3255" w14:paraId="4F07A6F1" w14:textId="77777777">
        <w:trPr>
          <w:trHeight w:val="4850"/>
          <w:jc w:val="center"/>
        </w:trPr>
        <w:tc>
          <w:tcPr>
            <w:tcW w:w="4274" w:type="dxa"/>
          </w:tcPr>
          <w:p w:rsidRPr="00B02E6F" w:rsidR="00ED0EA5" w:rsidP="0027335E" w:rsidRDefault="00ED0EA5" w14:paraId="3F597206" w14:textId="77777777">
            <w:pPr>
              <w:rPr>
                <w:rFonts w:cstheme="minorHAnsi"/>
                <w:b/>
                <w:sz w:val="28"/>
                <w:szCs w:val="28"/>
              </w:rPr>
            </w:pPr>
            <w:r w:rsidRPr="00B02E6F">
              <w:rPr>
                <w:rFonts w:cstheme="minorHAnsi"/>
                <w:b/>
                <w:sz w:val="28"/>
                <w:szCs w:val="28"/>
              </w:rPr>
              <w:t>EXECUTIVE SUMMARY</w:t>
            </w:r>
          </w:p>
        </w:tc>
        <w:tc>
          <w:tcPr>
            <w:tcW w:w="4274" w:type="dxa"/>
          </w:tcPr>
          <w:p w:rsidR="00D34AF4" w:rsidP="00D34AF4" w:rsidRDefault="00ED0EA5" w14:paraId="74E58996" w14:textId="3F7A0E6B">
            <w:pPr>
              <w:rPr>
                <w:rFonts w:cstheme="minorHAnsi"/>
              </w:rPr>
            </w:pPr>
            <w:r w:rsidRPr="001922AB">
              <w:rPr>
                <w:rFonts w:cstheme="minorHAnsi"/>
                <w:i/>
                <w:iCs/>
              </w:rPr>
              <w:t>Sales</w:t>
            </w:r>
            <w:r w:rsidRPr="001922AB" w:rsidR="001922AB">
              <w:rPr>
                <w:rFonts w:cstheme="minorHAnsi"/>
                <w:i/>
                <w:iCs/>
              </w:rPr>
              <w:t xml:space="preserve"> &amp; </w:t>
            </w:r>
            <w:r w:rsidRPr="001922AB">
              <w:rPr>
                <w:rFonts w:cstheme="minorHAnsi"/>
                <w:i/>
                <w:iCs/>
              </w:rPr>
              <w:t>Sponsorship</w:t>
            </w:r>
            <w:r w:rsidR="00B02E6F">
              <w:rPr>
                <w:rFonts w:cstheme="minorHAnsi"/>
              </w:rPr>
              <w:t xml:space="preserve"> is performing against both strategy and annual target</w:t>
            </w:r>
            <w:r w:rsidR="007637E2">
              <w:rPr>
                <w:rFonts w:cstheme="minorHAnsi"/>
              </w:rPr>
              <w:t>s</w:t>
            </w:r>
            <w:r w:rsidR="00D34AF4">
              <w:rPr>
                <w:rFonts w:cstheme="minorHAnsi"/>
              </w:rPr>
              <w:t>, with no revision downwards in the reforecasting exercise</w:t>
            </w:r>
            <w:r w:rsidR="007637E2">
              <w:rPr>
                <w:rFonts w:cstheme="minorHAnsi"/>
              </w:rPr>
              <w:t>.</w:t>
            </w:r>
            <w:r w:rsidR="00D34AF4">
              <w:rPr>
                <w:rFonts w:cstheme="minorHAnsi"/>
              </w:rPr>
              <w:t xml:space="preserve"> </w:t>
            </w:r>
          </w:p>
          <w:p w:rsidR="00D34AF4" w:rsidP="00D34AF4" w:rsidRDefault="00D34AF4" w14:paraId="2E007E62" w14:textId="77777777">
            <w:pPr>
              <w:rPr>
                <w:rFonts w:cstheme="minorHAnsi"/>
              </w:rPr>
            </w:pPr>
          </w:p>
          <w:p w:rsidR="00D34AF4" w:rsidP="00D34AF4" w:rsidRDefault="00D34AF4" w14:paraId="0C7F7FCF" w14:textId="5953956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pipeline remains promising for both this year and next, with annual relationships accounting for at least a third of receipts, and with an eye on increasing their value in 2020-21. </w:t>
            </w:r>
          </w:p>
          <w:p w:rsidR="00D34AF4" w:rsidP="00D34AF4" w:rsidRDefault="00D34AF4" w14:paraId="28BC6B18" w14:textId="77777777">
            <w:pPr>
              <w:rPr>
                <w:rFonts w:cstheme="minorHAnsi"/>
              </w:rPr>
            </w:pPr>
          </w:p>
          <w:p w:rsidRPr="00B02E6F" w:rsidR="00A925A8" w:rsidP="00D34AF4" w:rsidRDefault="00D34AF4" w14:paraId="65783149" w14:textId="41BEF72D">
            <w:pPr>
              <w:rPr>
                <w:rFonts w:cstheme="minorHAnsi"/>
              </w:rPr>
            </w:pPr>
            <w:r>
              <w:rPr>
                <w:rFonts w:cstheme="minorHAnsi"/>
              </w:rPr>
              <w:t>However, Q4 remains an area of risk – w</w:t>
            </w:r>
            <w:r w:rsidR="007637E2">
              <w:rPr>
                <w:rFonts w:cstheme="minorHAnsi"/>
              </w:rPr>
              <w:t>ith</w:t>
            </w:r>
            <w:r>
              <w:rPr>
                <w:rFonts w:cstheme="minorHAnsi"/>
              </w:rPr>
              <w:t xml:space="preserve"> </w:t>
            </w:r>
            <w:r w:rsidR="007637E2">
              <w:rPr>
                <w:rFonts w:cstheme="minorHAnsi"/>
              </w:rPr>
              <w:t>an additional 20k added to the budget</w:t>
            </w:r>
            <w:r>
              <w:rPr>
                <w:rFonts w:cstheme="minorHAnsi"/>
              </w:rPr>
              <w:t xml:space="preserve"> for this period without strong assumptions</w:t>
            </w:r>
            <w:r w:rsidR="00A925A8">
              <w:rPr>
                <w:rFonts w:cstheme="minorHAnsi"/>
              </w:rPr>
              <w:t>. The risk of only one staff member remains constant, however there are no specific concerns regarding retention.</w:t>
            </w:r>
            <w:r>
              <w:rPr>
                <w:rFonts w:cstheme="minorHAnsi"/>
              </w:rPr>
              <w:t xml:space="preserve">  </w:t>
            </w:r>
            <w:r w:rsidR="00B02E6F">
              <w:rPr>
                <w:rFonts w:cstheme="minorHAnsi"/>
              </w:rPr>
              <w:t xml:space="preserve"> </w:t>
            </w:r>
            <w:r w:rsidRPr="00B02E6F" w:rsidR="00ED0EA5">
              <w:rPr>
                <w:rFonts w:cstheme="minorHAnsi"/>
              </w:rPr>
              <w:t xml:space="preserve"> </w:t>
            </w:r>
          </w:p>
        </w:tc>
      </w:tr>
      <w:tr w:rsidRPr="00B02E6F" w:rsidR="00ED0EA5" w:rsidTr="001B3255" w14:paraId="0E683AA7" w14:textId="77777777">
        <w:trPr>
          <w:trHeight w:val="1070"/>
          <w:jc w:val="center"/>
        </w:trPr>
        <w:tc>
          <w:tcPr>
            <w:tcW w:w="4274" w:type="dxa"/>
          </w:tcPr>
          <w:p w:rsidRPr="00B02E6F" w:rsidR="00ED0EA5" w:rsidP="0027335E" w:rsidRDefault="00ED0EA5" w14:paraId="739C5B31" w14:textId="77777777">
            <w:pPr>
              <w:rPr>
                <w:rFonts w:cstheme="minorHAnsi"/>
                <w:b/>
                <w:sz w:val="28"/>
                <w:szCs w:val="28"/>
              </w:rPr>
            </w:pPr>
            <w:r w:rsidRPr="00B02E6F">
              <w:rPr>
                <w:rFonts w:cstheme="minorHAnsi"/>
                <w:b/>
                <w:sz w:val="28"/>
                <w:szCs w:val="28"/>
              </w:rPr>
              <w:t>PURPOSE</w:t>
            </w:r>
          </w:p>
        </w:tc>
        <w:tc>
          <w:tcPr>
            <w:tcW w:w="4274" w:type="dxa"/>
          </w:tcPr>
          <w:p w:rsidRPr="00B02E6F" w:rsidR="00ED0EA5" w:rsidP="0027335E" w:rsidRDefault="00ED0EA5" w14:paraId="5063595E" w14:textId="7CCC070E">
            <w:pPr>
              <w:rPr>
                <w:rFonts w:cstheme="minorHAnsi"/>
              </w:rPr>
            </w:pPr>
            <w:r w:rsidRPr="00B02E6F">
              <w:rPr>
                <w:rFonts w:cstheme="minorHAnsi"/>
              </w:rPr>
              <w:t>To update the Finance &amp; Risk Com</w:t>
            </w:r>
            <w:r w:rsidR="00A925A8">
              <w:rPr>
                <w:rFonts w:cstheme="minorHAnsi"/>
              </w:rPr>
              <w:t>m</w:t>
            </w:r>
            <w:r w:rsidRPr="00B02E6F">
              <w:rPr>
                <w:rFonts w:cstheme="minorHAnsi"/>
              </w:rPr>
              <w:t>ittee on the budget</w:t>
            </w:r>
            <w:r w:rsidR="00D34AF4">
              <w:rPr>
                <w:rFonts w:cstheme="minorHAnsi"/>
              </w:rPr>
              <w:t xml:space="preserve">, strategy, and </w:t>
            </w:r>
            <w:r w:rsidRPr="00B02E6F">
              <w:rPr>
                <w:rFonts w:cstheme="minorHAnsi"/>
              </w:rPr>
              <w:t xml:space="preserve">risks in the area of sales and sponsorship.   </w:t>
            </w:r>
          </w:p>
        </w:tc>
      </w:tr>
      <w:tr w:rsidRPr="00B02E6F" w:rsidR="00ED0EA5" w:rsidTr="001B3255" w14:paraId="05800090" w14:textId="77777777">
        <w:trPr>
          <w:trHeight w:val="1610"/>
          <w:jc w:val="center"/>
        </w:trPr>
        <w:tc>
          <w:tcPr>
            <w:tcW w:w="4274" w:type="dxa"/>
          </w:tcPr>
          <w:p w:rsidRPr="00B02E6F" w:rsidR="00ED0EA5" w:rsidP="0027335E" w:rsidRDefault="00ED0EA5" w14:paraId="4F9EC16E" w14:textId="77777777">
            <w:pPr>
              <w:rPr>
                <w:rFonts w:cstheme="minorHAnsi"/>
                <w:b/>
                <w:sz w:val="28"/>
                <w:szCs w:val="28"/>
              </w:rPr>
            </w:pPr>
            <w:r w:rsidRPr="00B02E6F">
              <w:rPr>
                <w:rFonts w:cstheme="minorHAnsi"/>
                <w:b/>
                <w:sz w:val="28"/>
                <w:szCs w:val="28"/>
              </w:rPr>
              <w:t>DECISION/ACTION REQUIRED</w:t>
            </w:r>
          </w:p>
        </w:tc>
        <w:tc>
          <w:tcPr>
            <w:tcW w:w="4274" w:type="dxa"/>
          </w:tcPr>
          <w:p w:rsidRPr="00B02E6F" w:rsidR="00ED0EA5" w:rsidP="00A925A8" w:rsidRDefault="00ED0EA5" w14:paraId="186F6B9C" w14:textId="0A11482F">
            <w:pPr>
              <w:rPr>
                <w:rFonts w:cstheme="minorHAnsi"/>
              </w:rPr>
            </w:pPr>
            <w:r w:rsidRPr="00B02E6F">
              <w:rPr>
                <w:rFonts w:cstheme="minorHAnsi"/>
              </w:rPr>
              <w:t>For report and discussion.</w:t>
            </w:r>
          </w:p>
        </w:tc>
      </w:tr>
    </w:tbl>
    <w:p w:rsidRPr="00B02E6F" w:rsidR="00ED0EA5" w:rsidP="00ED0EA5" w:rsidRDefault="00ED0EA5" w14:paraId="1AA25354" w14:textId="77777777">
      <w:pPr>
        <w:jc w:val="center"/>
        <w:rPr>
          <w:rFonts w:cstheme="minorHAnsi"/>
        </w:rPr>
      </w:pPr>
    </w:p>
    <w:p w:rsidR="00523A4E" w:rsidRDefault="00523A4E" w14:paraId="7D4CA218" w14:textId="6ADCB930">
      <w:pPr>
        <w:rPr>
          <w:rFonts w:cstheme="minorHAnsi"/>
          <w:b/>
          <w:sz w:val="26"/>
          <w:szCs w:val="26"/>
        </w:rPr>
      </w:pPr>
    </w:p>
    <w:p w:rsidR="001922AB" w:rsidRDefault="001922AB" w14:paraId="1A82CE05" w14:textId="77777777">
      <w:pPr>
        <w:rPr>
          <w:rFonts w:cstheme="minorHAnsi"/>
          <w:b/>
          <w:sz w:val="26"/>
          <w:szCs w:val="26"/>
        </w:rPr>
      </w:pPr>
    </w:p>
    <w:p w:rsidRPr="00B02E6F" w:rsidR="00C52D92" w:rsidRDefault="00C52D92" w14:paraId="39E7059E" w14:textId="361D3B90">
      <w:pPr>
        <w:rPr>
          <w:rFonts w:cstheme="minorHAnsi"/>
          <w:b/>
          <w:sz w:val="26"/>
          <w:szCs w:val="26"/>
        </w:rPr>
      </w:pPr>
      <w:r w:rsidRPr="00B02E6F">
        <w:rPr>
          <w:rFonts w:cstheme="minorHAnsi"/>
          <w:b/>
          <w:sz w:val="26"/>
          <w:szCs w:val="26"/>
        </w:rPr>
        <w:lastRenderedPageBreak/>
        <w:t>Summary:</w:t>
      </w:r>
    </w:p>
    <w:p w:rsidRPr="00B02E6F" w:rsidR="00523A4E" w:rsidRDefault="00523A4E" w14:paraId="38B81899" w14:textId="77777777">
      <w:pPr>
        <w:rPr>
          <w:rFonts w:cstheme="minorHAnsi"/>
          <w:b/>
          <w:sz w:val="22"/>
          <w:szCs w:val="22"/>
        </w:rPr>
      </w:pPr>
    </w:p>
    <w:p w:rsidRPr="00B02E6F" w:rsidR="00A876FC" w:rsidP="00523A4E" w:rsidRDefault="00A876FC" w14:paraId="6C114AAA" w14:textId="3ECF7B40">
      <w:pPr>
        <w:pStyle w:val="ListParagraph"/>
        <w:numPr>
          <w:ilvl w:val="0"/>
          <w:numId w:val="7"/>
        </w:numPr>
        <w:rPr>
          <w:rFonts w:cstheme="minorHAnsi"/>
          <w:b/>
        </w:rPr>
      </w:pPr>
      <w:r w:rsidRPr="00B02E6F">
        <w:rPr>
          <w:rFonts w:cstheme="minorHAnsi"/>
          <w:b/>
        </w:rPr>
        <w:t xml:space="preserve">Annual Target: </w:t>
      </w:r>
      <w:r w:rsidRPr="00B02E6F">
        <w:rPr>
          <w:rFonts w:cstheme="minorHAnsi"/>
        </w:rPr>
        <w:t>£139,550</w:t>
      </w:r>
    </w:p>
    <w:p w:rsidRPr="00B02E6F" w:rsidR="00A876FC" w:rsidP="00523A4E" w:rsidRDefault="00A876FC" w14:paraId="1B88E299" w14:textId="157AD259">
      <w:pPr>
        <w:pStyle w:val="ListParagraph"/>
        <w:numPr>
          <w:ilvl w:val="0"/>
          <w:numId w:val="7"/>
        </w:numPr>
        <w:rPr>
          <w:rFonts w:cstheme="minorHAnsi"/>
        </w:rPr>
      </w:pPr>
      <w:r w:rsidRPr="00B02E6F">
        <w:rPr>
          <w:rFonts w:cstheme="minorHAnsi"/>
          <w:b/>
        </w:rPr>
        <w:t xml:space="preserve">Budget </w:t>
      </w:r>
      <w:r w:rsidRPr="00B02E6F" w:rsidR="00DC7614">
        <w:rPr>
          <w:rFonts w:cstheme="minorHAnsi"/>
          <w:b/>
        </w:rPr>
        <w:t>to Q2</w:t>
      </w:r>
      <w:r w:rsidRPr="00B02E6F">
        <w:rPr>
          <w:rFonts w:cstheme="minorHAnsi"/>
          <w:b/>
        </w:rPr>
        <w:t xml:space="preserve">: </w:t>
      </w:r>
      <w:r w:rsidRPr="00B02E6F">
        <w:rPr>
          <w:rFonts w:cstheme="minorHAnsi"/>
        </w:rPr>
        <w:t>£105,550</w:t>
      </w:r>
    </w:p>
    <w:p w:rsidRPr="00B02E6F" w:rsidR="00A876FC" w:rsidP="00523A4E" w:rsidRDefault="00A876FC" w14:paraId="06EBFBE2" w14:textId="121C2B6A">
      <w:pPr>
        <w:pStyle w:val="ListParagraph"/>
        <w:numPr>
          <w:ilvl w:val="0"/>
          <w:numId w:val="7"/>
        </w:numPr>
        <w:rPr>
          <w:rFonts w:cstheme="minorHAnsi"/>
        </w:rPr>
      </w:pPr>
      <w:r w:rsidRPr="00B02E6F">
        <w:rPr>
          <w:rFonts w:cstheme="minorHAnsi"/>
          <w:b/>
        </w:rPr>
        <w:t xml:space="preserve">Sales </w:t>
      </w:r>
      <w:r w:rsidRPr="00B02E6F" w:rsidR="00A86AF4">
        <w:rPr>
          <w:rFonts w:cstheme="minorHAnsi"/>
          <w:b/>
        </w:rPr>
        <w:t>I</w:t>
      </w:r>
      <w:r w:rsidRPr="00B02E6F">
        <w:rPr>
          <w:rFonts w:cstheme="minorHAnsi"/>
          <w:b/>
        </w:rPr>
        <w:t>n</w:t>
      </w:r>
      <w:r w:rsidRPr="00B02E6F">
        <w:rPr>
          <w:rFonts w:cstheme="minorHAnsi"/>
          <w:b/>
        </w:rPr>
        <w:t xml:space="preserve">voices </w:t>
      </w:r>
      <w:r w:rsidRPr="00B02E6F">
        <w:rPr>
          <w:rFonts w:cstheme="minorHAnsi"/>
          <w:b/>
        </w:rPr>
        <w:t xml:space="preserve">to </w:t>
      </w:r>
      <w:r w:rsidR="001922AB">
        <w:rPr>
          <w:rFonts w:cstheme="minorHAnsi"/>
          <w:b/>
        </w:rPr>
        <w:t>date</w:t>
      </w:r>
      <w:r w:rsidR="00D34AF4">
        <w:rPr>
          <w:rFonts w:cstheme="minorHAnsi"/>
          <w:b/>
        </w:rPr>
        <w:t xml:space="preserve"> (end of Jan)</w:t>
      </w:r>
      <w:r w:rsidRPr="00B02E6F" w:rsidR="00DC7614">
        <w:rPr>
          <w:rFonts w:cstheme="minorHAnsi"/>
          <w:b/>
        </w:rPr>
        <w:t>:</w:t>
      </w:r>
      <w:r w:rsidRPr="00B02E6F">
        <w:rPr>
          <w:rFonts w:cstheme="minorHAnsi"/>
          <w:b/>
        </w:rPr>
        <w:t xml:space="preserve"> </w:t>
      </w:r>
      <w:r w:rsidRPr="00B02E6F">
        <w:rPr>
          <w:rFonts w:cstheme="minorHAnsi"/>
        </w:rPr>
        <w:t>£95,126.50</w:t>
      </w:r>
      <w:r w:rsidRPr="00B02E6F">
        <w:rPr>
          <w:rFonts w:cstheme="minorHAnsi"/>
        </w:rPr>
        <w:t xml:space="preserve"> </w:t>
      </w:r>
    </w:p>
    <w:p w:rsidRPr="00B02E6F" w:rsidR="00A876FC" w:rsidP="00523A4E" w:rsidRDefault="00DC7614" w14:paraId="7B25D5B3" w14:textId="6739C13F">
      <w:pPr>
        <w:pStyle w:val="ListParagraph"/>
        <w:numPr>
          <w:ilvl w:val="0"/>
          <w:numId w:val="7"/>
        </w:numPr>
        <w:rPr>
          <w:rFonts w:cstheme="minorHAnsi"/>
        </w:rPr>
      </w:pPr>
      <w:r w:rsidRPr="00B02E6F">
        <w:rPr>
          <w:rFonts w:cstheme="minorHAnsi"/>
          <w:b/>
          <w:bCs/>
        </w:rPr>
        <w:t xml:space="preserve">Revised target for </w:t>
      </w:r>
      <w:r w:rsidR="00D34AF4">
        <w:rPr>
          <w:rFonts w:cstheme="minorHAnsi"/>
          <w:b/>
          <w:bCs/>
        </w:rPr>
        <w:t>Q3</w:t>
      </w:r>
      <w:r w:rsidRPr="00B02E6F">
        <w:rPr>
          <w:rFonts w:cstheme="minorHAnsi"/>
        </w:rPr>
        <w:t xml:space="preserve"> – </w:t>
      </w:r>
      <w:r w:rsidRPr="00B02E6F" w:rsidR="00523A4E">
        <w:rPr>
          <w:rFonts w:cstheme="minorHAnsi"/>
        </w:rPr>
        <w:t>£</w:t>
      </w:r>
      <w:r w:rsidRPr="00B02E6F">
        <w:rPr>
          <w:rFonts w:cstheme="minorHAnsi"/>
        </w:rPr>
        <w:t>19, 000 (</w:t>
      </w:r>
      <w:r w:rsidRPr="00B02E6F">
        <w:rPr>
          <w:rFonts w:cstheme="minorHAnsi"/>
        </w:rPr>
        <w:t>£</w:t>
      </w:r>
      <w:r w:rsidRPr="00B02E6F">
        <w:rPr>
          <w:rFonts w:cstheme="minorHAnsi"/>
        </w:rPr>
        <w:t>9K</w:t>
      </w:r>
      <w:r w:rsidR="00A925A8">
        <w:rPr>
          <w:rFonts w:cstheme="minorHAnsi"/>
        </w:rPr>
        <w:t xml:space="preserve"> target</w:t>
      </w:r>
      <w:r w:rsidRPr="00B02E6F">
        <w:rPr>
          <w:rFonts w:cstheme="minorHAnsi"/>
        </w:rPr>
        <w:t xml:space="preserve"> + 10K shortfall)</w:t>
      </w:r>
    </w:p>
    <w:p w:rsidRPr="00B02E6F" w:rsidR="00DC7614" w:rsidP="6B337386" w:rsidRDefault="00DC7614" w14:paraId="450872A4" w14:textId="394A0F50">
      <w:pPr>
        <w:pStyle w:val="ListParagraph"/>
        <w:numPr>
          <w:ilvl w:val="0"/>
          <w:numId w:val="7"/>
        </w:numPr>
        <w:rPr>
          <w:rFonts w:cs="Calibri" w:cstheme="minorAscii"/>
        </w:rPr>
      </w:pPr>
      <w:r w:rsidRPr="6B337386" w:rsidR="00DC7614">
        <w:rPr>
          <w:rFonts w:cs="Calibri" w:cstheme="minorAscii"/>
          <w:b w:val="1"/>
          <w:bCs w:val="1"/>
        </w:rPr>
        <w:t>Annual projection</w:t>
      </w:r>
      <w:r w:rsidRPr="6B337386" w:rsidR="00DC7614">
        <w:rPr>
          <w:rFonts w:cs="Calibri" w:cstheme="minorAscii"/>
        </w:rPr>
        <w:t xml:space="preserve"> –</w:t>
      </w:r>
      <w:r w:rsidRPr="6B337386" w:rsidR="00523A4E">
        <w:rPr>
          <w:rFonts w:cs="Calibri" w:cstheme="minorAscii"/>
        </w:rPr>
        <w:t xml:space="preserve"> no</w:t>
      </w:r>
      <w:r w:rsidRPr="6B337386" w:rsidR="001922AB">
        <w:rPr>
          <w:rFonts w:cs="Calibri" w:cstheme="minorAscii"/>
        </w:rPr>
        <w:t xml:space="preserve"> </w:t>
      </w:r>
      <w:r w:rsidRPr="6B337386" w:rsidR="00523A4E">
        <w:rPr>
          <w:rFonts w:cs="Calibri" w:cstheme="minorAscii"/>
        </w:rPr>
        <w:t>reforec</w:t>
      </w:r>
      <w:r w:rsidRPr="6B337386" w:rsidR="001922AB">
        <w:rPr>
          <w:rFonts w:cs="Calibri" w:cstheme="minorAscii"/>
        </w:rPr>
        <w:t>ast</w:t>
      </w:r>
      <w:r w:rsidRPr="6B337386" w:rsidR="00DC7614">
        <w:rPr>
          <w:rFonts w:cs="Calibri" w:cstheme="minorAscii"/>
        </w:rPr>
        <w:t xml:space="preserve"> </w:t>
      </w:r>
    </w:p>
    <w:p w:rsidRPr="001922AB" w:rsidR="00DC7614" w:rsidP="00FC12C2" w:rsidRDefault="00523A4E" w14:paraId="609502A9" w14:textId="7A72FFBD">
      <w:pPr>
        <w:pStyle w:val="ListParagraph"/>
        <w:numPr>
          <w:ilvl w:val="0"/>
          <w:numId w:val="7"/>
        </w:numPr>
        <w:rPr>
          <w:rFonts w:cstheme="minorHAnsi"/>
          <w:sz w:val="26"/>
          <w:szCs w:val="26"/>
        </w:rPr>
      </w:pPr>
      <w:r w:rsidRPr="001922AB">
        <w:rPr>
          <w:rFonts w:cstheme="minorHAnsi"/>
          <w:b/>
          <w:bCs/>
        </w:rPr>
        <w:t xml:space="preserve">Risk </w:t>
      </w:r>
      <w:r w:rsidRPr="001922AB">
        <w:rPr>
          <w:rFonts w:cstheme="minorHAnsi"/>
        </w:rPr>
        <w:t>– Q4 (25K</w:t>
      </w:r>
      <w:r w:rsidR="001922AB">
        <w:rPr>
          <w:rFonts w:cstheme="minorHAnsi"/>
        </w:rPr>
        <w:t>)</w:t>
      </w:r>
    </w:p>
    <w:p w:rsidRPr="001922AB" w:rsidR="001922AB" w:rsidP="001922AB" w:rsidRDefault="001922AB" w14:paraId="4763665E" w14:textId="77777777">
      <w:pPr>
        <w:pStyle w:val="ListParagraph"/>
        <w:rPr>
          <w:rFonts w:cstheme="minorHAnsi"/>
          <w:sz w:val="26"/>
          <w:szCs w:val="26"/>
        </w:rPr>
      </w:pPr>
    </w:p>
    <w:p w:rsidR="001922AB" w:rsidP="00A876FC" w:rsidRDefault="00596B92" w14:paraId="09D02311" w14:textId="77777777">
      <w:pPr>
        <w:rPr>
          <w:rFonts w:cstheme="minorHAnsi"/>
          <w:b/>
          <w:bCs/>
          <w:sz w:val="26"/>
          <w:szCs w:val="26"/>
        </w:rPr>
      </w:pPr>
      <w:r w:rsidRPr="00B02E6F">
        <w:rPr>
          <w:rFonts w:cstheme="minorHAnsi"/>
          <w:b/>
          <w:bCs/>
          <w:sz w:val="26"/>
          <w:szCs w:val="26"/>
        </w:rPr>
        <w:t>Introduction</w:t>
      </w:r>
    </w:p>
    <w:p w:rsidRPr="001922AB" w:rsidR="00596B92" w:rsidP="00A876FC" w:rsidRDefault="00A876FC" w14:paraId="086A9CA3" w14:textId="34B473ED">
      <w:pPr>
        <w:rPr>
          <w:rFonts w:cstheme="minorHAnsi"/>
          <w:b/>
          <w:bCs/>
          <w:sz w:val="26"/>
          <w:szCs w:val="26"/>
        </w:rPr>
      </w:pPr>
      <w:r w:rsidRPr="001922AB">
        <w:rPr>
          <w:rFonts w:cstheme="minorHAnsi"/>
          <w:i/>
          <w:iCs/>
        </w:rPr>
        <w:t>Sales &amp; Sponsorship</w:t>
      </w:r>
      <w:r w:rsidRPr="00B02E6F">
        <w:rPr>
          <w:rFonts w:cstheme="minorHAnsi"/>
        </w:rPr>
        <w:t xml:space="preserve"> continues to perform</w:t>
      </w:r>
      <w:r w:rsidR="00A925A8">
        <w:rPr>
          <w:rFonts w:cstheme="minorHAnsi"/>
        </w:rPr>
        <w:t xml:space="preserve"> </w:t>
      </w:r>
      <w:r w:rsidR="001922AB">
        <w:rPr>
          <w:rFonts w:cstheme="minorHAnsi"/>
        </w:rPr>
        <w:t>against</w:t>
      </w:r>
      <w:r w:rsidR="00A925A8">
        <w:rPr>
          <w:rFonts w:cstheme="minorHAnsi"/>
        </w:rPr>
        <w:t xml:space="preserve"> both annual targets and strategy,</w:t>
      </w:r>
      <w:r w:rsidRPr="00B02E6F" w:rsidR="00467F7E">
        <w:rPr>
          <w:rFonts w:cstheme="minorHAnsi"/>
        </w:rPr>
        <w:t xml:space="preserve"> </w:t>
      </w:r>
      <w:r w:rsidRPr="00B02E6F">
        <w:rPr>
          <w:rFonts w:cstheme="minorHAnsi"/>
        </w:rPr>
        <w:t>with</w:t>
      </w:r>
      <w:r w:rsidRPr="00B02E6F" w:rsidR="006C7289">
        <w:rPr>
          <w:rFonts w:cstheme="minorHAnsi"/>
        </w:rPr>
        <w:t xml:space="preserve"> sales invoices</w:t>
      </w:r>
      <w:r w:rsidRPr="00B02E6F" w:rsidR="00620E64">
        <w:rPr>
          <w:rFonts w:cstheme="minorHAnsi"/>
        </w:rPr>
        <w:t xml:space="preserve"> to </w:t>
      </w:r>
      <w:r w:rsidRPr="00B02E6F" w:rsidR="00596B92">
        <w:rPr>
          <w:rFonts w:cstheme="minorHAnsi"/>
        </w:rPr>
        <w:t>date (</w:t>
      </w:r>
      <w:r w:rsidRPr="00B02E6F" w:rsidR="00467F7E">
        <w:rPr>
          <w:rFonts w:cstheme="minorHAnsi"/>
        </w:rPr>
        <w:t>end of January</w:t>
      </w:r>
      <w:r w:rsidRPr="00B02E6F" w:rsidR="00596B92">
        <w:rPr>
          <w:rFonts w:cstheme="minorHAnsi"/>
        </w:rPr>
        <w:t>)</w:t>
      </w:r>
      <w:r w:rsidRPr="00B02E6F" w:rsidR="006C7289">
        <w:rPr>
          <w:rFonts w:cstheme="minorHAnsi"/>
        </w:rPr>
        <w:t xml:space="preserve"> </w:t>
      </w:r>
      <w:r w:rsidRPr="00B02E6F" w:rsidR="00620E64">
        <w:rPr>
          <w:rFonts w:cstheme="minorHAnsi"/>
        </w:rPr>
        <w:t>a</w:t>
      </w:r>
      <w:r w:rsidRPr="00B02E6F" w:rsidR="006C7289">
        <w:rPr>
          <w:rFonts w:cstheme="minorHAnsi"/>
        </w:rPr>
        <w:t>ccounting for</w:t>
      </w:r>
      <w:r w:rsidRPr="00B02E6F" w:rsidR="009F7EE3">
        <w:rPr>
          <w:rFonts w:cstheme="minorHAnsi"/>
        </w:rPr>
        <w:t xml:space="preserve"> approximately 70 per cent of </w:t>
      </w:r>
      <w:r w:rsidR="00A925A8">
        <w:rPr>
          <w:rFonts w:cstheme="minorHAnsi"/>
        </w:rPr>
        <w:t>the annual</w:t>
      </w:r>
      <w:r w:rsidRPr="00B02E6F" w:rsidR="009F7EE3">
        <w:rPr>
          <w:rFonts w:cstheme="minorHAnsi"/>
        </w:rPr>
        <w:t xml:space="preserve"> </w:t>
      </w:r>
      <w:r w:rsidR="00A925A8">
        <w:rPr>
          <w:rFonts w:cstheme="minorHAnsi"/>
        </w:rPr>
        <w:t>budget for this area</w:t>
      </w:r>
      <w:r w:rsidRPr="00B02E6F" w:rsidR="009F7EE3">
        <w:rPr>
          <w:rFonts w:cstheme="minorHAnsi"/>
        </w:rPr>
        <w:t>.</w:t>
      </w:r>
      <w:r w:rsidRPr="00B02E6F" w:rsidR="00620E64">
        <w:rPr>
          <w:rFonts w:cstheme="minorHAnsi"/>
        </w:rPr>
        <w:t xml:space="preserve"> </w:t>
      </w:r>
      <w:r w:rsidRPr="00B02E6F" w:rsidR="00596B92">
        <w:rPr>
          <w:rFonts w:cstheme="minorHAnsi"/>
        </w:rPr>
        <w:t xml:space="preserve">The strategy continues to be effective and this report will focus on </w:t>
      </w:r>
      <w:r w:rsidRPr="00B02E6F" w:rsidR="00732D8C">
        <w:rPr>
          <w:rFonts w:cstheme="minorHAnsi"/>
        </w:rPr>
        <w:t>its</w:t>
      </w:r>
      <w:r w:rsidRPr="00B02E6F" w:rsidR="00596B92">
        <w:rPr>
          <w:rFonts w:cstheme="minorHAnsi"/>
        </w:rPr>
        <w:t xml:space="preserve"> main points, which are:</w:t>
      </w:r>
    </w:p>
    <w:p w:rsidRPr="00B02E6F" w:rsidR="00596B92" w:rsidP="00A876FC" w:rsidRDefault="00596B92" w14:paraId="303314BE" w14:textId="77777777">
      <w:pPr>
        <w:rPr>
          <w:rFonts w:cstheme="minorHAnsi"/>
        </w:rPr>
      </w:pPr>
    </w:p>
    <w:p w:rsidRPr="00B02E6F" w:rsidR="009F7EE3" w:rsidP="00596B92" w:rsidRDefault="00596B92" w14:paraId="5E044FBC" w14:textId="3279DA14">
      <w:pPr>
        <w:pStyle w:val="ListParagraph"/>
        <w:numPr>
          <w:ilvl w:val="0"/>
          <w:numId w:val="3"/>
        </w:numPr>
        <w:rPr>
          <w:rFonts w:cstheme="minorHAnsi"/>
        </w:rPr>
      </w:pPr>
      <w:r w:rsidRPr="00B02E6F">
        <w:rPr>
          <w:rFonts w:cstheme="minorHAnsi"/>
        </w:rPr>
        <w:t>Prioritis</w:t>
      </w:r>
      <w:r w:rsidRPr="00B02E6F" w:rsidR="00732D8C">
        <w:rPr>
          <w:rFonts w:cstheme="minorHAnsi"/>
        </w:rPr>
        <w:t>ing</w:t>
      </w:r>
      <w:r w:rsidRPr="00B02E6F">
        <w:rPr>
          <w:rFonts w:cstheme="minorHAnsi"/>
        </w:rPr>
        <w:t xml:space="preserve"> long</w:t>
      </w:r>
      <w:r w:rsidRPr="00B02E6F" w:rsidR="00732D8C">
        <w:rPr>
          <w:rFonts w:cstheme="minorHAnsi"/>
        </w:rPr>
        <w:t>-</w:t>
      </w:r>
      <w:r w:rsidRPr="00B02E6F">
        <w:rPr>
          <w:rFonts w:cstheme="minorHAnsi"/>
        </w:rPr>
        <w:t>term partnerships</w:t>
      </w:r>
      <w:r w:rsidRPr="00B02E6F" w:rsidR="00C52D92">
        <w:rPr>
          <w:rFonts w:cstheme="minorHAnsi"/>
        </w:rPr>
        <w:t xml:space="preserve"> and rebuilding relationships</w:t>
      </w:r>
    </w:p>
    <w:p w:rsidRPr="00B02E6F" w:rsidR="00596B92" w:rsidP="00596B92" w:rsidRDefault="00596B92" w14:paraId="677C0F90" w14:textId="248786FE">
      <w:pPr>
        <w:pStyle w:val="ListParagraph"/>
        <w:numPr>
          <w:ilvl w:val="0"/>
          <w:numId w:val="3"/>
        </w:numPr>
        <w:rPr>
          <w:rFonts w:cstheme="minorHAnsi"/>
        </w:rPr>
      </w:pPr>
      <w:r w:rsidRPr="00B02E6F">
        <w:rPr>
          <w:rFonts w:cstheme="minorHAnsi"/>
        </w:rPr>
        <w:t>Shift</w:t>
      </w:r>
      <w:r w:rsidRPr="00B02E6F" w:rsidR="00732D8C">
        <w:rPr>
          <w:rFonts w:cstheme="minorHAnsi"/>
        </w:rPr>
        <w:t>ing</w:t>
      </w:r>
      <w:r w:rsidRPr="00B02E6F">
        <w:rPr>
          <w:rFonts w:cstheme="minorHAnsi"/>
        </w:rPr>
        <w:t xml:space="preserve"> to quarterly targets to a</w:t>
      </w:r>
      <w:r w:rsidRPr="00B02E6F" w:rsidR="00732D8C">
        <w:rPr>
          <w:rFonts w:cstheme="minorHAnsi"/>
        </w:rPr>
        <w:t xml:space="preserve">llow space for the development of a </w:t>
      </w:r>
      <w:r w:rsidRPr="00B02E6F">
        <w:rPr>
          <w:rFonts w:cstheme="minorHAnsi"/>
        </w:rPr>
        <w:t xml:space="preserve">pipeline </w:t>
      </w:r>
    </w:p>
    <w:p w:rsidRPr="00B02E6F" w:rsidR="00946A87" w:rsidP="00946A87" w:rsidRDefault="00596B92" w14:paraId="55945625" w14:textId="62816716">
      <w:pPr>
        <w:pStyle w:val="ListParagraph"/>
        <w:numPr>
          <w:ilvl w:val="0"/>
          <w:numId w:val="3"/>
        </w:numPr>
        <w:rPr>
          <w:rFonts w:cstheme="minorHAnsi"/>
        </w:rPr>
      </w:pPr>
      <w:r w:rsidRPr="00B02E6F">
        <w:rPr>
          <w:rFonts w:cstheme="minorHAnsi"/>
        </w:rPr>
        <w:t>Review</w:t>
      </w:r>
      <w:r w:rsidRPr="00B02E6F" w:rsidR="00732D8C">
        <w:rPr>
          <w:rFonts w:cstheme="minorHAnsi"/>
        </w:rPr>
        <w:t xml:space="preserve">ing our pricing </w:t>
      </w:r>
      <w:r w:rsidRPr="00B02E6F">
        <w:rPr>
          <w:rFonts w:cstheme="minorHAnsi"/>
        </w:rPr>
        <w:t xml:space="preserve">strategy </w:t>
      </w:r>
    </w:p>
    <w:p w:rsidRPr="00B02E6F" w:rsidR="00596B92" w:rsidP="00596B92" w:rsidRDefault="00732D8C" w14:paraId="62090A9B" w14:textId="689D0973">
      <w:pPr>
        <w:pStyle w:val="ListParagraph"/>
        <w:numPr>
          <w:ilvl w:val="0"/>
          <w:numId w:val="3"/>
        </w:numPr>
        <w:rPr>
          <w:rFonts w:cstheme="minorHAnsi"/>
        </w:rPr>
      </w:pPr>
      <w:r w:rsidRPr="00B02E6F">
        <w:rPr>
          <w:rFonts w:cstheme="minorHAnsi"/>
        </w:rPr>
        <w:t>Maximising spaces/ channels and e</w:t>
      </w:r>
      <w:r w:rsidRPr="00B02E6F" w:rsidR="00596B92">
        <w:rPr>
          <w:rFonts w:cstheme="minorHAnsi"/>
        </w:rPr>
        <w:t>xplor</w:t>
      </w:r>
      <w:r w:rsidRPr="00B02E6F">
        <w:rPr>
          <w:rFonts w:cstheme="minorHAnsi"/>
        </w:rPr>
        <w:t>ing</w:t>
      </w:r>
      <w:r w:rsidRPr="00B02E6F" w:rsidR="00596B92">
        <w:rPr>
          <w:rFonts w:cstheme="minorHAnsi"/>
        </w:rPr>
        <w:t xml:space="preserve"> new products </w:t>
      </w:r>
    </w:p>
    <w:p w:rsidRPr="00B02E6F" w:rsidR="00C52D92" w:rsidP="00A876FC" w:rsidRDefault="00C52D92" w14:paraId="7DD7868C" w14:textId="77777777">
      <w:pPr>
        <w:rPr>
          <w:rFonts w:cstheme="minorHAnsi"/>
        </w:rPr>
      </w:pPr>
    </w:p>
    <w:p w:rsidRPr="00B02E6F" w:rsidR="00596B92" w:rsidP="00A876FC" w:rsidRDefault="00596B92" w14:paraId="19E79202" w14:textId="0EC38525">
      <w:pPr>
        <w:rPr>
          <w:rFonts w:cstheme="minorHAnsi"/>
          <w:b/>
          <w:bCs/>
          <w:sz w:val="26"/>
          <w:szCs w:val="26"/>
        </w:rPr>
      </w:pPr>
      <w:r w:rsidRPr="00B02E6F">
        <w:rPr>
          <w:rFonts w:cstheme="minorHAnsi"/>
          <w:b/>
          <w:bCs/>
          <w:sz w:val="26"/>
          <w:szCs w:val="26"/>
        </w:rPr>
        <w:t xml:space="preserve">Long Term Partnerships </w:t>
      </w:r>
    </w:p>
    <w:p w:rsidRPr="00B02E6F" w:rsidR="00620E64" w:rsidP="00A876FC" w:rsidRDefault="00620E64" w14:paraId="3B22BA8E" w14:textId="2ACC9F99">
      <w:pPr>
        <w:rPr>
          <w:rFonts w:cstheme="minorHAnsi"/>
        </w:rPr>
      </w:pPr>
      <w:r w:rsidRPr="00B02E6F">
        <w:rPr>
          <w:rFonts w:cstheme="minorHAnsi"/>
        </w:rPr>
        <w:t>In keeping with the strategy, we continue to prioritise long term relationships that benefit the student experience</w:t>
      </w:r>
      <w:r w:rsidR="00A925A8">
        <w:rPr>
          <w:rFonts w:cstheme="minorHAnsi"/>
        </w:rPr>
        <w:t>:</w:t>
      </w:r>
    </w:p>
    <w:p w:rsidRPr="00B02E6F" w:rsidR="00620E64" w:rsidP="00A876FC" w:rsidRDefault="00620E64" w14:paraId="5CCEA77D" w14:textId="77777777">
      <w:pPr>
        <w:rPr>
          <w:rFonts w:cstheme="minorHAnsi"/>
        </w:rPr>
      </w:pPr>
    </w:p>
    <w:p w:rsidRPr="00B02E6F" w:rsidR="00620E64" w:rsidP="00C52D92" w:rsidRDefault="00620E64" w14:paraId="00AB6EC8" w14:textId="436D5110">
      <w:pPr>
        <w:pStyle w:val="ListParagraph"/>
        <w:numPr>
          <w:ilvl w:val="0"/>
          <w:numId w:val="5"/>
        </w:numPr>
        <w:rPr>
          <w:rFonts w:cstheme="minorHAnsi"/>
        </w:rPr>
      </w:pPr>
      <w:r w:rsidRPr="00B02E6F">
        <w:rPr>
          <w:rFonts w:cstheme="minorHAnsi"/>
        </w:rPr>
        <w:t xml:space="preserve">Endsleigh </w:t>
      </w:r>
      <w:r w:rsidRPr="00B02E6F" w:rsidR="00A86AF4">
        <w:rPr>
          <w:rFonts w:cstheme="minorHAnsi"/>
        </w:rPr>
        <w:t>(s</w:t>
      </w:r>
      <w:r w:rsidRPr="00B02E6F">
        <w:rPr>
          <w:rFonts w:cstheme="minorHAnsi"/>
        </w:rPr>
        <w:t xml:space="preserve">tudent </w:t>
      </w:r>
      <w:r w:rsidRPr="00B02E6F" w:rsidR="00A86AF4">
        <w:rPr>
          <w:rFonts w:cstheme="minorHAnsi"/>
        </w:rPr>
        <w:t>i</w:t>
      </w:r>
      <w:r w:rsidRPr="00B02E6F">
        <w:rPr>
          <w:rFonts w:cstheme="minorHAnsi"/>
        </w:rPr>
        <w:t>nsurance</w:t>
      </w:r>
      <w:r w:rsidRPr="00B02E6F" w:rsidR="00A86AF4">
        <w:rPr>
          <w:rFonts w:cstheme="minorHAnsi"/>
        </w:rPr>
        <w:t>)</w:t>
      </w:r>
      <w:r w:rsidRPr="00B02E6F">
        <w:rPr>
          <w:rFonts w:cstheme="minorHAnsi"/>
        </w:rPr>
        <w:t xml:space="preserve"> - </w:t>
      </w:r>
      <w:r w:rsidRPr="00B02E6F" w:rsidR="003D3E82">
        <w:rPr>
          <w:rFonts w:cstheme="minorHAnsi"/>
        </w:rPr>
        <w:t>£</w:t>
      </w:r>
      <w:r w:rsidRPr="00B02E6F">
        <w:rPr>
          <w:rFonts w:cstheme="minorHAnsi"/>
        </w:rPr>
        <w:t>3, 600</w:t>
      </w:r>
    </w:p>
    <w:p w:rsidRPr="00B02E6F" w:rsidR="00620E64" w:rsidP="00C52D92" w:rsidRDefault="00620E64" w14:paraId="3BB98E45" w14:textId="74706169">
      <w:pPr>
        <w:pStyle w:val="ListParagraph"/>
        <w:numPr>
          <w:ilvl w:val="0"/>
          <w:numId w:val="5"/>
        </w:numPr>
        <w:rPr>
          <w:rFonts w:cstheme="minorHAnsi"/>
        </w:rPr>
      </w:pPr>
      <w:r w:rsidRPr="00B02E6F">
        <w:rPr>
          <w:rFonts w:cstheme="minorHAnsi"/>
        </w:rPr>
        <w:t>Papa John’s Pizza</w:t>
      </w:r>
      <w:r w:rsidRPr="00B02E6F" w:rsidR="003D3E82">
        <w:rPr>
          <w:rFonts w:cstheme="minorHAnsi"/>
        </w:rPr>
        <w:t xml:space="preserve"> </w:t>
      </w:r>
      <w:r w:rsidRPr="00B02E6F" w:rsidR="00A86AF4">
        <w:rPr>
          <w:rFonts w:cstheme="minorHAnsi"/>
        </w:rPr>
        <w:t>(s</w:t>
      </w:r>
      <w:r w:rsidRPr="00B02E6F" w:rsidR="003D3E82">
        <w:rPr>
          <w:rFonts w:cstheme="minorHAnsi"/>
        </w:rPr>
        <w:t>pecial Imperial code for students</w:t>
      </w:r>
      <w:r w:rsidRPr="00B02E6F" w:rsidR="00A86AF4">
        <w:rPr>
          <w:rFonts w:cstheme="minorHAnsi"/>
        </w:rPr>
        <w:t>)</w:t>
      </w:r>
      <w:r w:rsidRPr="00B02E6F">
        <w:rPr>
          <w:rFonts w:cstheme="minorHAnsi"/>
        </w:rPr>
        <w:t xml:space="preserve"> - </w:t>
      </w:r>
      <w:r w:rsidRPr="00B02E6F" w:rsidR="003D3E82">
        <w:rPr>
          <w:rFonts w:cstheme="minorHAnsi"/>
        </w:rPr>
        <w:t>£</w:t>
      </w:r>
      <w:r w:rsidRPr="00B02E6F">
        <w:rPr>
          <w:rFonts w:cstheme="minorHAnsi"/>
        </w:rPr>
        <w:t>15, 000</w:t>
      </w:r>
    </w:p>
    <w:p w:rsidRPr="00B02E6F" w:rsidR="00620E64" w:rsidP="00C52D92" w:rsidRDefault="00620E64" w14:paraId="2DE48A96" w14:textId="5BAE303D">
      <w:pPr>
        <w:pStyle w:val="ListParagraph"/>
        <w:numPr>
          <w:ilvl w:val="0"/>
          <w:numId w:val="5"/>
        </w:numPr>
        <w:rPr>
          <w:rFonts w:cstheme="minorHAnsi"/>
        </w:rPr>
      </w:pPr>
      <w:proofErr w:type="spellStart"/>
      <w:r w:rsidRPr="00B02E6F">
        <w:rPr>
          <w:rFonts w:cstheme="minorHAnsi"/>
        </w:rPr>
        <w:t>Proprep</w:t>
      </w:r>
      <w:proofErr w:type="spellEnd"/>
      <w:r w:rsidRPr="00B02E6F">
        <w:rPr>
          <w:rFonts w:cstheme="minorHAnsi"/>
        </w:rPr>
        <w:t xml:space="preserve"> </w:t>
      </w:r>
      <w:r w:rsidRPr="00B02E6F" w:rsidR="00A86AF4">
        <w:rPr>
          <w:rFonts w:cstheme="minorHAnsi"/>
        </w:rPr>
        <w:t>(s</w:t>
      </w:r>
      <w:r w:rsidRPr="00B02E6F">
        <w:rPr>
          <w:rFonts w:cstheme="minorHAnsi"/>
        </w:rPr>
        <w:t xml:space="preserve">tem </w:t>
      </w:r>
      <w:r w:rsidRPr="00B02E6F" w:rsidR="00A86AF4">
        <w:rPr>
          <w:rFonts w:cstheme="minorHAnsi"/>
        </w:rPr>
        <w:t>l</w:t>
      </w:r>
      <w:r w:rsidRPr="00B02E6F">
        <w:rPr>
          <w:rFonts w:cstheme="minorHAnsi"/>
        </w:rPr>
        <w:t xml:space="preserve">earning </w:t>
      </w:r>
      <w:r w:rsidRPr="00B02E6F" w:rsidR="00A86AF4">
        <w:rPr>
          <w:rFonts w:cstheme="minorHAnsi"/>
        </w:rPr>
        <w:t>p</w:t>
      </w:r>
      <w:r w:rsidRPr="00B02E6F">
        <w:rPr>
          <w:rFonts w:cstheme="minorHAnsi"/>
        </w:rPr>
        <w:t>latform</w:t>
      </w:r>
      <w:r w:rsidRPr="00B02E6F" w:rsidR="00A86AF4">
        <w:rPr>
          <w:rFonts w:cstheme="minorHAnsi"/>
        </w:rPr>
        <w:t>)</w:t>
      </w:r>
      <w:r w:rsidRPr="00B02E6F">
        <w:rPr>
          <w:rFonts w:cstheme="minorHAnsi"/>
        </w:rPr>
        <w:t xml:space="preserve"> – </w:t>
      </w:r>
      <w:r w:rsidRPr="00B02E6F" w:rsidR="003D3E82">
        <w:rPr>
          <w:rFonts w:cstheme="minorHAnsi"/>
        </w:rPr>
        <w:t>£</w:t>
      </w:r>
      <w:r w:rsidRPr="00B02E6F">
        <w:rPr>
          <w:rFonts w:cstheme="minorHAnsi"/>
        </w:rPr>
        <w:t>10, 000</w:t>
      </w:r>
    </w:p>
    <w:p w:rsidRPr="00B02E6F" w:rsidR="00620E64" w:rsidP="00C52D92" w:rsidRDefault="003D3E82" w14:paraId="6C2E6F9A" w14:textId="3B47FB98">
      <w:pPr>
        <w:pStyle w:val="ListParagraph"/>
        <w:numPr>
          <w:ilvl w:val="0"/>
          <w:numId w:val="5"/>
        </w:numPr>
        <w:rPr>
          <w:rFonts w:cstheme="minorHAnsi"/>
        </w:rPr>
      </w:pPr>
      <w:proofErr w:type="spellStart"/>
      <w:r w:rsidRPr="00B02E6F">
        <w:rPr>
          <w:rFonts w:cstheme="minorHAnsi"/>
        </w:rPr>
        <w:t>Redbus</w:t>
      </w:r>
      <w:proofErr w:type="spellEnd"/>
      <w:r w:rsidRPr="00B02E6F">
        <w:rPr>
          <w:rFonts w:cstheme="minorHAnsi"/>
        </w:rPr>
        <w:t xml:space="preserve"> Media Advertising </w:t>
      </w:r>
      <w:r w:rsidRPr="00B02E6F" w:rsidR="00A86AF4">
        <w:rPr>
          <w:rFonts w:cstheme="minorHAnsi"/>
        </w:rPr>
        <w:t xml:space="preserve">(student marketing screen providers) </w:t>
      </w:r>
      <w:r w:rsidRPr="00B02E6F">
        <w:rPr>
          <w:rFonts w:cstheme="minorHAnsi"/>
        </w:rPr>
        <w:t xml:space="preserve">– </w:t>
      </w:r>
      <w:r w:rsidRPr="00B02E6F">
        <w:rPr>
          <w:rFonts w:cstheme="minorHAnsi"/>
        </w:rPr>
        <w:t>£</w:t>
      </w:r>
      <w:r w:rsidRPr="00B02E6F">
        <w:rPr>
          <w:rFonts w:cstheme="minorHAnsi"/>
        </w:rPr>
        <w:t>5</w:t>
      </w:r>
      <w:r w:rsidRPr="00B02E6F" w:rsidR="00596B92">
        <w:rPr>
          <w:rFonts w:cstheme="minorHAnsi"/>
        </w:rPr>
        <w:t xml:space="preserve">, </w:t>
      </w:r>
      <w:r w:rsidRPr="00B02E6F">
        <w:rPr>
          <w:rFonts w:cstheme="minorHAnsi"/>
        </w:rPr>
        <w:t>100</w:t>
      </w:r>
    </w:p>
    <w:p w:rsidRPr="00B02E6F" w:rsidR="003D3E82" w:rsidP="00C52D92" w:rsidRDefault="003D3E82" w14:paraId="3FE6BC07" w14:textId="297DF78B">
      <w:pPr>
        <w:pStyle w:val="ListParagraph"/>
        <w:numPr>
          <w:ilvl w:val="0"/>
          <w:numId w:val="5"/>
        </w:numPr>
        <w:rPr>
          <w:rFonts w:cstheme="minorHAnsi"/>
        </w:rPr>
      </w:pPr>
      <w:r w:rsidRPr="00B02E6F">
        <w:rPr>
          <w:rFonts w:cstheme="minorHAnsi"/>
        </w:rPr>
        <w:t xml:space="preserve">Image Scotland (preferred supplier advertising arrangement for CSPs) – </w:t>
      </w:r>
      <w:r w:rsidRPr="00B02E6F">
        <w:rPr>
          <w:rFonts w:cstheme="minorHAnsi"/>
        </w:rPr>
        <w:t>£</w:t>
      </w:r>
      <w:r w:rsidRPr="00B02E6F">
        <w:rPr>
          <w:rFonts w:cstheme="minorHAnsi"/>
        </w:rPr>
        <w:t>3, 000</w:t>
      </w:r>
    </w:p>
    <w:p w:rsidRPr="00B02E6F" w:rsidR="003D3E82" w:rsidP="00A876FC" w:rsidRDefault="003D3E82" w14:paraId="50AB6E17" w14:textId="738DD75D">
      <w:pPr>
        <w:rPr>
          <w:rFonts w:cstheme="minorHAnsi"/>
        </w:rPr>
      </w:pPr>
    </w:p>
    <w:p w:rsidRPr="00B02E6F" w:rsidR="00596B92" w:rsidP="00A876FC" w:rsidRDefault="00A86AF4" w14:paraId="238BFA0E" w14:textId="30283D63">
      <w:pPr>
        <w:rPr>
          <w:rFonts w:cstheme="minorHAnsi"/>
          <w:b/>
          <w:bCs/>
          <w:sz w:val="26"/>
          <w:szCs w:val="26"/>
        </w:rPr>
      </w:pPr>
      <w:r w:rsidRPr="00B02E6F">
        <w:rPr>
          <w:rFonts w:cstheme="minorHAnsi"/>
          <w:b/>
          <w:bCs/>
          <w:sz w:val="26"/>
          <w:szCs w:val="26"/>
        </w:rPr>
        <w:t xml:space="preserve">Pipeline for </w:t>
      </w:r>
      <w:r w:rsidRPr="00B02E6F" w:rsidR="00732D8C">
        <w:rPr>
          <w:rFonts w:cstheme="minorHAnsi"/>
          <w:b/>
          <w:bCs/>
          <w:sz w:val="26"/>
          <w:szCs w:val="26"/>
        </w:rPr>
        <w:t xml:space="preserve">Long Term </w:t>
      </w:r>
      <w:r w:rsidRPr="00B02E6F">
        <w:rPr>
          <w:rFonts w:cstheme="minorHAnsi"/>
          <w:b/>
          <w:bCs/>
          <w:sz w:val="26"/>
          <w:szCs w:val="26"/>
        </w:rPr>
        <w:t>Partnerships</w:t>
      </w:r>
      <w:r w:rsidRPr="00B02E6F" w:rsidR="00596B92">
        <w:rPr>
          <w:rFonts w:cstheme="minorHAnsi"/>
          <w:b/>
          <w:bCs/>
          <w:sz w:val="26"/>
          <w:szCs w:val="26"/>
        </w:rPr>
        <w:t>:</w:t>
      </w:r>
    </w:p>
    <w:p w:rsidRPr="00B02E6F" w:rsidR="00596B92" w:rsidP="00C52D92" w:rsidRDefault="00C52D92" w14:paraId="329B98E0" w14:textId="79A642D5">
      <w:pPr>
        <w:rPr>
          <w:rFonts w:cstheme="minorHAnsi"/>
          <w:b/>
          <w:bCs/>
          <w:sz w:val="22"/>
          <w:szCs w:val="22"/>
        </w:rPr>
      </w:pPr>
      <w:r w:rsidRPr="00B02E6F">
        <w:rPr>
          <w:rFonts w:cstheme="minorHAnsi"/>
          <w:b/>
          <w:bCs/>
        </w:rPr>
        <w:br/>
      </w:r>
      <w:r w:rsidRPr="00B02E6F" w:rsidR="00596B92">
        <w:rPr>
          <w:rFonts w:cstheme="minorHAnsi"/>
          <w:b/>
          <w:bCs/>
          <w:sz w:val="22"/>
          <w:szCs w:val="22"/>
        </w:rPr>
        <w:t xml:space="preserve">Ola Cabs – 15K </w:t>
      </w:r>
    </w:p>
    <w:p w:rsidRPr="00B02E6F" w:rsidR="00732D8C" w:rsidP="00A876FC" w:rsidRDefault="00732D8C" w14:paraId="2221BEBA" w14:textId="2C366F9D">
      <w:pPr>
        <w:rPr>
          <w:rFonts w:cstheme="minorHAnsi"/>
        </w:rPr>
      </w:pPr>
      <w:r w:rsidRPr="00B02E6F">
        <w:rPr>
          <w:rFonts w:cstheme="minorHAnsi"/>
        </w:rPr>
        <w:t xml:space="preserve">We have </w:t>
      </w:r>
      <w:r w:rsidRPr="00B02E6F" w:rsidR="00596B92">
        <w:rPr>
          <w:rFonts w:cstheme="minorHAnsi"/>
        </w:rPr>
        <w:t xml:space="preserve">agreed a draft annual contract with Ola Cabs, which </w:t>
      </w:r>
      <w:r w:rsidRPr="00B02E6F">
        <w:rPr>
          <w:rFonts w:cstheme="minorHAnsi"/>
        </w:rPr>
        <w:t>recently</w:t>
      </w:r>
      <w:r w:rsidRPr="00B02E6F" w:rsidR="00596B92">
        <w:rPr>
          <w:rFonts w:cstheme="minorHAnsi"/>
        </w:rPr>
        <w:t xml:space="preserve"> received the licence to operate in London, but the</w:t>
      </w:r>
      <w:r w:rsidRPr="00B02E6F" w:rsidR="00467F7E">
        <w:rPr>
          <w:rFonts w:cstheme="minorHAnsi"/>
        </w:rPr>
        <w:t xml:space="preserve"> service has </w:t>
      </w:r>
      <w:r w:rsidRPr="00B02E6F" w:rsidR="00596B92">
        <w:rPr>
          <w:rFonts w:cstheme="minorHAnsi"/>
        </w:rPr>
        <w:t xml:space="preserve">yet to launch and the deal </w:t>
      </w:r>
      <w:r w:rsidRPr="00B02E6F">
        <w:rPr>
          <w:rFonts w:cstheme="minorHAnsi"/>
        </w:rPr>
        <w:t xml:space="preserve">has not been </w:t>
      </w:r>
      <w:r w:rsidRPr="00B02E6F" w:rsidR="00596B92">
        <w:rPr>
          <w:rFonts w:cstheme="minorHAnsi"/>
        </w:rPr>
        <w:t xml:space="preserve">activated. It is not yet clear if </w:t>
      </w:r>
      <w:r w:rsidRPr="00B02E6F">
        <w:rPr>
          <w:rFonts w:cstheme="minorHAnsi"/>
        </w:rPr>
        <w:t xml:space="preserve">Ola Cabs </w:t>
      </w:r>
      <w:r w:rsidRPr="00B02E6F" w:rsidR="00467F7E">
        <w:rPr>
          <w:rFonts w:cstheme="minorHAnsi"/>
        </w:rPr>
        <w:t xml:space="preserve">still intends to </w:t>
      </w:r>
      <w:r w:rsidRPr="00B02E6F">
        <w:rPr>
          <w:rFonts w:cstheme="minorHAnsi"/>
        </w:rPr>
        <w:t>launch this year</w:t>
      </w:r>
      <w:r w:rsidRPr="00B02E6F" w:rsidR="00467F7E">
        <w:rPr>
          <w:rFonts w:cstheme="minorHAnsi"/>
        </w:rPr>
        <w:t>,</w:t>
      </w:r>
      <w:r w:rsidRPr="00B02E6F" w:rsidR="00A86AF4">
        <w:rPr>
          <w:rFonts w:cstheme="minorHAnsi"/>
        </w:rPr>
        <w:t xml:space="preserve"> but the</w:t>
      </w:r>
      <w:r w:rsidRPr="00B02E6F">
        <w:rPr>
          <w:rFonts w:cstheme="minorHAnsi"/>
        </w:rPr>
        <w:t xml:space="preserve"> </w:t>
      </w:r>
      <w:r w:rsidRPr="00B02E6F" w:rsidR="00A86AF4">
        <w:rPr>
          <w:rFonts w:cstheme="minorHAnsi"/>
        </w:rPr>
        <w:t>lines of communication</w:t>
      </w:r>
      <w:r w:rsidRPr="00B02E6F" w:rsidR="00A86AF4">
        <w:rPr>
          <w:rFonts w:cstheme="minorHAnsi"/>
        </w:rPr>
        <w:t xml:space="preserve"> have been kept </w:t>
      </w:r>
      <w:r w:rsidRPr="00B02E6F" w:rsidR="00A86AF4">
        <w:rPr>
          <w:rFonts w:cstheme="minorHAnsi"/>
        </w:rPr>
        <w:t>open</w:t>
      </w:r>
      <w:r w:rsidRPr="00B02E6F" w:rsidR="00467F7E">
        <w:rPr>
          <w:rFonts w:cstheme="minorHAnsi"/>
        </w:rPr>
        <w:t xml:space="preserve"> for </w:t>
      </w:r>
      <w:r w:rsidR="00A925A8">
        <w:rPr>
          <w:rFonts w:cstheme="minorHAnsi"/>
        </w:rPr>
        <w:t>a</w:t>
      </w:r>
      <w:r w:rsidRPr="00B02E6F" w:rsidR="00467F7E">
        <w:rPr>
          <w:rFonts w:cstheme="minorHAnsi"/>
        </w:rPr>
        <w:t xml:space="preserve"> relationship, potentially in 2020-21</w:t>
      </w:r>
      <w:r w:rsidRPr="00B02E6F" w:rsidR="00A86AF4">
        <w:rPr>
          <w:rFonts w:cstheme="minorHAnsi"/>
        </w:rPr>
        <w:t>.</w:t>
      </w:r>
    </w:p>
    <w:p w:rsidRPr="00B02E6F" w:rsidR="00A86AF4" w:rsidP="00A876FC" w:rsidRDefault="00A86AF4" w14:paraId="43FF1136" w14:textId="77777777">
      <w:pPr>
        <w:rPr>
          <w:rFonts w:cstheme="minorHAnsi"/>
        </w:rPr>
      </w:pPr>
    </w:p>
    <w:p w:rsidRPr="00B02E6F" w:rsidR="00596B92" w:rsidP="00A876FC" w:rsidRDefault="00596B92" w14:paraId="233211EB" w14:textId="05F72B61">
      <w:pPr>
        <w:rPr>
          <w:rFonts w:cstheme="minorHAnsi"/>
          <w:b/>
          <w:bCs/>
          <w:sz w:val="22"/>
          <w:szCs w:val="22"/>
        </w:rPr>
      </w:pPr>
      <w:r w:rsidRPr="00B02E6F">
        <w:rPr>
          <w:rFonts w:cstheme="minorHAnsi"/>
          <w:b/>
          <w:bCs/>
          <w:sz w:val="22"/>
          <w:szCs w:val="22"/>
        </w:rPr>
        <w:t xml:space="preserve">National Express </w:t>
      </w:r>
      <w:r w:rsidRPr="00B02E6F" w:rsidR="00946A87">
        <w:rPr>
          <w:rFonts w:cstheme="minorHAnsi"/>
          <w:b/>
          <w:bCs/>
          <w:sz w:val="22"/>
          <w:szCs w:val="22"/>
        </w:rPr>
        <w:t>– 2K</w:t>
      </w:r>
    </w:p>
    <w:p w:rsidRPr="00732D8C" w:rsidR="00732D8C" w:rsidP="00732D8C" w:rsidRDefault="00732D8C" w14:paraId="31ECCCD7" w14:textId="49171860">
      <w:pPr>
        <w:rPr>
          <w:rFonts w:cstheme="minorHAnsi"/>
        </w:rPr>
      </w:pPr>
      <w:r w:rsidRPr="00B02E6F">
        <w:rPr>
          <w:rFonts w:cstheme="minorHAnsi"/>
        </w:rPr>
        <w:t xml:space="preserve">We </w:t>
      </w:r>
      <w:r w:rsidRPr="00B02E6F" w:rsidR="00A86AF4">
        <w:rPr>
          <w:rFonts w:cstheme="minorHAnsi"/>
        </w:rPr>
        <w:t>are</w:t>
      </w:r>
      <w:r w:rsidRPr="00B02E6F">
        <w:rPr>
          <w:rFonts w:cstheme="minorHAnsi"/>
        </w:rPr>
        <w:t xml:space="preserve"> </w:t>
      </w:r>
      <w:r w:rsidRPr="00732D8C">
        <w:rPr>
          <w:rFonts w:cstheme="minorHAnsi"/>
        </w:rPr>
        <w:t>negotiat</w:t>
      </w:r>
      <w:r w:rsidRPr="00B02E6F" w:rsidR="00A86AF4">
        <w:rPr>
          <w:rFonts w:cstheme="minorHAnsi"/>
        </w:rPr>
        <w:t>ing</w:t>
      </w:r>
      <w:r w:rsidRPr="00732D8C">
        <w:rPr>
          <w:rFonts w:cstheme="minorHAnsi"/>
        </w:rPr>
        <w:t xml:space="preserve"> a media package with National Express valued at £2,000 for the remainder of the academic year –sign</w:t>
      </w:r>
      <w:r w:rsidR="00A925A8">
        <w:rPr>
          <w:rFonts w:cstheme="minorHAnsi"/>
        </w:rPr>
        <w:t xml:space="preserve"> </w:t>
      </w:r>
      <w:r w:rsidRPr="00732D8C">
        <w:rPr>
          <w:rFonts w:cstheme="minorHAnsi"/>
        </w:rPr>
        <w:t xml:space="preserve">off </w:t>
      </w:r>
      <w:r w:rsidR="00A925A8">
        <w:rPr>
          <w:rFonts w:cstheme="minorHAnsi"/>
        </w:rPr>
        <w:t xml:space="preserve">expected </w:t>
      </w:r>
      <w:r w:rsidRPr="00B02E6F" w:rsidR="00467F7E">
        <w:rPr>
          <w:rFonts w:cstheme="minorHAnsi"/>
        </w:rPr>
        <w:t>early February</w:t>
      </w:r>
      <w:r w:rsidRPr="00732D8C">
        <w:rPr>
          <w:rFonts w:cstheme="minorHAnsi"/>
        </w:rPr>
        <w:t>.</w:t>
      </w:r>
      <w:r w:rsidRPr="00B02E6F" w:rsidR="00A86AF4">
        <w:rPr>
          <w:rFonts w:cstheme="minorHAnsi"/>
        </w:rPr>
        <w:t xml:space="preserve"> With most of our students from outside London, these relationships continue to </w:t>
      </w:r>
      <w:r w:rsidRPr="00B02E6F" w:rsidR="00467F7E">
        <w:rPr>
          <w:rFonts w:cstheme="minorHAnsi"/>
        </w:rPr>
        <w:t xml:space="preserve">redound to </w:t>
      </w:r>
      <w:r w:rsidRPr="00B02E6F" w:rsidR="00A86AF4">
        <w:rPr>
          <w:rFonts w:cstheme="minorHAnsi"/>
        </w:rPr>
        <w:t xml:space="preserve">the benefit of students and will form part of our term </w:t>
      </w:r>
      <w:r w:rsidRPr="00B02E6F" w:rsidR="00467F7E">
        <w:rPr>
          <w:rFonts w:cstheme="minorHAnsi"/>
        </w:rPr>
        <w:t>3</w:t>
      </w:r>
      <w:r w:rsidRPr="00B02E6F" w:rsidR="00C52D92">
        <w:rPr>
          <w:rFonts w:cstheme="minorHAnsi"/>
        </w:rPr>
        <w:t xml:space="preserve"> </w:t>
      </w:r>
      <w:r w:rsidRPr="00B02E6F" w:rsidR="00A86AF4">
        <w:rPr>
          <w:rFonts w:cstheme="minorHAnsi"/>
        </w:rPr>
        <w:t xml:space="preserve">strategy along with other companies who are useful to students at the close of their year. </w:t>
      </w:r>
    </w:p>
    <w:p w:rsidRPr="00B02E6F" w:rsidR="00620E64" w:rsidP="00A876FC" w:rsidRDefault="00620E64" w14:paraId="38E171AF" w14:textId="77D10156">
      <w:pPr>
        <w:rPr>
          <w:rFonts w:cstheme="minorHAnsi"/>
        </w:rPr>
      </w:pPr>
    </w:p>
    <w:p w:rsidRPr="00B02E6F" w:rsidR="00946A87" w:rsidP="00946A87" w:rsidRDefault="00946A87" w14:paraId="20732B7B" w14:textId="07162B7A">
      <w:pPr>
        <w:rPr>
          <w:rFonts w:cstheme="minorHAnsi"/>
          <w:b/>
          <w:bCs/>
          <w:sz w:val="26"/>
          <w:szCs w:val="26"/>
        </w:rPr>
      </w:pPr>
      <w:r w:rsidRPr="00B02E6F">
        <w:rPr>
          <w:rFonts w:cstheme="minorHAnsi"/>
          <w:b/>
          <w:bCs/>
          <w:sz w:val="26"/>
          <w:szCs w:val="26"/>
        </w:rPr>
        <w:lastRenderedPageBreak/>
        <w:t>Pipeline for 2020-21</w:t>
      </w:r>
      <w:r w:rsidRPr="00B02E6F" w:rsidR="00C52D92">
        <w:rPr>
          <w:rFonts w:cstheme="minorHAnsi"/>
          <w:b/>
          <w:bCs/>
          <w:sz w:val="26"/>
          <w:szCs w:val="26"/>
        </w:rPr>
        <w:t>:</w:t>
      </w:r>
    </w:p>
    <w:p w:rsidRPr="00B02E6F" w:rsidR="00C52D92" w:rsidP="00946A87" w:rsidRDefault="00C52D92" w14:paraId="23F3C9D0" w14:textId="77777777">
      <w:pPr>
        <w:rPr>
          <w:rFonts w:cstheme="minorHAnsi"/>
          <w:b/>
          <w:bCs/>
        </w:rPr>
      </w:pPr>
    </w:p>
    <w:p w:rsidRPr="00B02E6F" w:rsidR="00946A87" w:rsidP="00946A87" w:rsidRDefault="00946A87" w14:paraId="354E5741" w14:textId="7A5EDA90">
      <w:pPr>
        <w:rPr>
          <w:rFonts w:cstheme="minorHAnsi"/>
          <w:b/>
          <w:bCs/>
          <w:sz w:val="22"/>
          <w:szCs w:val="22"/>
        </w:rPr>
      </w:pPr>
      <w:r w:rsidRPr="00B02E6F">
        <w:rPr>
          <w:rFonts w:cstheme="minorHAnsi"/>
          <w:b/>
          <w:bCs/>
          <w:sz w:val="22"/>
          <w:szCs w:val="22"/>
        </w:rPr>
        <w:t xml:space="preserve">Red Bus Review </w:t>
      </w:r>
    </w:p>
    <w:p w:rsidRPr="00B02E6F" w:rsidR="00A86AF4" w:rsidP="00A86AF4" w:rsidRDefault="00A86AF4" w14:paraId="53B5F13B" w14:textId="6934B98C">
      <w:pPr>
        <w:jc w:val="both"/>
        <w:rPr>
          <w:rFonts w:cstheme="minorHAnsi"/>
        </w:rPr>
      </w:pPr>
      <w:r w:rsidRPr="00B02E6F">
        <w:rPr>
          <w:rFonts w:cstheme="minorHAnsi"/>
        </w:rPr>
        <w:t>We have requested a review of our exclusive contract w</w:t>
      </w:r>
      <w:r w:rsidRPr="00B02E6F">
        <w:rPr>
          <w:rFonts w:cstheme="minorHAnsi"/>
        </w:rPr>
        <w:t>ith Red Bus Media currently valued at £5,</w:t>
      </w:r>
      <w:r w:rsidRPr="00B02E6F">
        <w:rPr>
          <w:rFonts w:cstheme="minorHAnsi"/>
        </w:rPr>
        <w:t>1</w:t>
      </w:r>
      <w:r w:rsidRPr="00B02E6F">
        <w:rPr>
          <w:rFonts w:cstheme="minorHAnsi"/>
        </w:rPr>
        <w:t xml:space="preserve">00 per annum. </w:t>
      </w:r>
      <w:r w:rsidRPr="00B02E6F">
        <w:rPr>
          <w:rFonts w:cstheme="minorHAnsi"/>
        </w:rPr>
        <w:t>Red Bus supplies portrait advertising screen</w:t>
      </w:r>
      <w:r w:rsidRPr="00B02E6F" w:rsidR="00946A87">
        <w:rPr>
          <w:rFonts w:cstheme="minorHAnsi"/>
        </w:rPr>
        <w:t>s</w:t>
      </w:r>
      <w:r w:rsidRPr="00B02E6F">
        <w:rPr>
          <w:rFonts w:cstheme="minorHAnsi"/>
        </w:rPr>
        <w:t xml:space="preserve"> for the Union</w:t>
      </w:r>
      <w:r w:rsidRPr="00B02E6F" w:rsidR="00946A87">
        <w:rPr>
          <w:rFonts w:cstheme="minorHAnsi"/>
        </w:rPr>
        <w:t xml:space="preserve"> with the right to advertise. However, with </w:t>
      </w:r>
      <w:r w:rsidRPr="00B02E6F">
        <w:rPr>
          <w:rFonts w:cstheme="minorHAnsi"/>
        </w:rPr>
        <w:t>other London universities</w:t>
      </w:r>
      <w:r w:rsidRPr="00B02E6F" w:rsidR="00946A87">
        <w:rPr>
          <w:rFonts w:cstheme="minorHAnsi"/>
        </w:rPr>
        <w:t xml:space="preserve"> holding </w:t>
      </w:r>
      <w:r w:rsidRPr="00B02E6F">
        <w:rPr>
          <w:rFonts w:cstheme="minorHAnsi"/>
        </w:rPr>
        <w:t>similar contracts</w:t>
      </w:r>
      <w:r w:rsidRPr="00B02E6F" w:rsidR="00946A87">
        <w:rPr>
          <w:rFonts w:cstheme="minorHAnsi"/>
        </w:rPr>
        <w:t xml:space="preserve"> at a much higher</w:t>
      </w:r>
      <w:r w:rsidRPr="00B02E6F">
        <w:rPr>
          <w:rFonts w:cstheme="minorHAnsi"/>
        </w:rPr>
        <w:t xml:space="preserve"> value</w:t>
      </w:r>
      <w:r w:rsidRPr="00B02E6F" w:rsidR="00946A87">
        <w:rPr>
          <w:rFonts w:cstheme="minorHAnsi"/>
        </w:rPr>
        <w:t>, we have requested a review</w:t>
      </w:r>
      <w:r w:rsidRPr="00B02E6F">
        <w:rPr>
          <w:rFonts w:cstheme="minorHAnsi"/>
        </w:rPr>
        <w:t>. Red Bus ha</w:t>
      </w:r>
      <w:r w:rsidRPr="00B02E6F" w:rsidR="00946A87">
        <w:rPr>
          <w:rFonts w:cstheme="minorHAnsi"/>
        </w:rPr>
        <w:t>s</w:t>
      </w:r>
      <w:r w:rsidRPr="00B02E6F">
        <w:rPr>
          <w:rFonts w:cstheme="minorHAnsi"/>
        </w:rPr>
        <w:t xml:space="preserve"> agreed to look at how much they’re willing to pay for the remaining 2 years of the contract</w:t>
      </w:r>
      <w:r w:rsidRPr="00B02E6F" w:rsidR="00946A87">
        <w:rPr>
          <w:rFonts w:cstheme="minorHAnsi"/>
        </w:rPr>
        <w:t xml:space="preserve"> in the interest of goodwill. We are hoping to increase the value to least</w:t>
      </w:r>
      <w:r w:rsidRPr="00B02E6F">
        <w:rPr>
          <w:rFonts w:cstheme="minorHAnsi"/>
        </w:rPr>
        <w:t xml:space="preserve"> £8,000-£10,000 per year for the 2020/21 and 2021/22 academic years</w:t>
      </w:r>
    </w:p>
    <w:p w:rsidRPr="00B02E6F" w:rsidR="00946A87" w:rsidP="00A86AF4" w:rsidRDefault="00946A87" w14:paraId="31172A55" w14:textId="26BF2772">
      <w:pPr>
        <w:jc w:val="both"/>
        <w:rPr>
          <w:rFonts w:cstheme="minorHAnsi"/>
        </w:rPr>
      </w:pPr>
    </w:p>
    <w:p w:rsidRPr="00B02E6F" w:rsidR="00467F7E" w:rsidP="00A86AF4" w:rsidRDefault="00467F7E" w14:paraId="0E59165C" w14:textId="34C52979">
      <w:pPr>
        <w:jc w:val="both"/>
        <w:rPr>
          <w:rFonts w:cstheme="minorHAnsi"/>
          <w:b/>
          <w:bCs/>
          <w:sz w:val="22"/>
          <w:szCs w:val="22"/>
        </w:rPr>
      </w:pPr>
      <w:r w:rsidRPr="00B02E6F">
        <w:rPr>
          <w:rFonts w:cstheme="minorHAnsi"/>
          <w:b/>
          <w:bCs/>
          <w:sz w:val="22"/>
          <w:szCs w:val="22"/>
        </w:rPr>
        <w:t xml:space="preserve">Papa John’s and </w:t>
      </w:r>
      <w:proofErr w:type="spellStart"/>
      <w:r w:rsidRPr="00B02E6F">
        <w:rPr>
          <w:rFonts w:cstheme="minorHAnsi"/>
          <w:b/>
          <w:bCs/>
          <w:sz w:val="22"/>
          <w:szCs w:val="22"/>
        </w:rPr>
        <w:t>Pro</w:t>
      </w:r>
      <w:r w:rsidRPr="00B02E6F" w:rsidR="003628A9">
        <w:rPr>
          <w:rFonts w:cstheme="minorHAnsi"/>
          <w:b/>
          <w:bCs/>
          <w:sz w:val="22"/>
          <w:szCs w:val="22"/>
        </w:rPr>
        <w:t>p</w:t>
      </w:r>
      <w:r w:rsidRPr="00B02E6F">
        <w:rPr>
          <w:rFonts w:cstheme="minorHAnsi"/>
          <w:b/>
          <w:bCs/>
          <w:sz w:val="22"/>
          <w:szCs w:val="22"/>
        </w:rPr>
        <w:t>rep</w:t>
      </w:r>
      <w:proofErr w:type="spellEnd"/>
      <w:r w:rsidRPr="00B02E6F">
        <w:rPr>
          <w:rFonts w:cstheme="minorHAnsi"/>
          <w:b/>
          <w:bCs/>
          <w:sz w:val="22"/>
          <w:szCs w:val="22"/>
        </w:rPr>
        <w:t xml:space="preserve"> renegotiations</w:t>
      </w:r>
    </w:p>
    <w:p w:rsidRPr="00B02E6F" w:rsidR="00A86AF4" w:rsidP="00946A87" w:rsidRDefault="00946A87" w14:paraId="05F44206" w14:textId="7067AC82">
      <w:pPr>
        <w:jc w:val="both"/>
        <w:rPr>
          <w:rFonts w:cstheme="minorHAnsi"/>
        </w:rPr>
      </w:pPr>
      <w:r w:rsidRPr="00B02E6F">
        <w:rPr>
          <w:rFonts w:cstheme="minorHAnsi"/>
        </w:rPr>
        <w:t xml:space="preserve">We will be renegotiating our contracts in the coming months with </w:t>
      </w:r>
      <w:r w:rsidRPr="00B02E6F" w:rsidR="00A86AF4">
        <w:rPr>
          <w:rFonts w:cstheme="minorHAnsi"/>
        </w:rPr>
        <w:t xml:space="preserve">Papa John’s and </w:t>
      </w:r>
      <w:proofErr w:type="spellStart"/>
      <w:r w:rsidRPr="00B02E6F" w:rsidR="00A86AF4">
        <w:rPr>
          <w:rFonts w:cstheme="minorHAnsi"/>
        </w:rPr>
        <w:t>Proprep</w:t>
      </w:r>
      <w:proofErr w:type="spellEnd"/>
      <w:r w:rsidRPr="00B02E6F" w:rsidR="00467F7E">
        <w:rPr>
          <w:rFonts w:cstheme="minorHAnsi"/>
        </w:rPr>
        <w:t xml:space="preserve"> with</w:t>
      </w:r>
      <w:r w:rsidRPr="00B02E6F">
        <w:rPr>
          <w:rFonts w:cstheme="minorHAnsi"/>
        </w:rPr>
        <w:t xml:space="preserve"> a view to establishing </w:t>
      </w:r>
      <w:r w:rsidRPr="00B02E6F" w:rsidR="00A86AF4">
        <w:rPr>
          <w:rFonts w:cstheme="minorHAnsi"/>
        </w:rPr>
        <w:t xml:space="preserve">3-year contracts. </w:t>
      </w:r>
      <w:r w:rsidRPr="00B02E6F" w:rsidR="00467F7E">
        <w:rPr>
          <w:rFonts w:cstheme="minorHAnsi"/>
        </w:rPr>
        <w:t>The aim is to</w:t>
      </w:r>
      <w:r w:rsidRPr="00B02E6F" w:rsidR="00A86AF4">
        <w:rPr>
          <w:rFonts w:cstheme="minorHAnsi"/>
        </w:rPr>
        <w:t xml:space="preserve"> maintain the Papa John’s contract at £15,000, </w:t>
      </w:r>
      <w:r w:rsidRPr="00B02E6F" w:rsidR="00467F7E">
        <w:rPr>
          <w:rFonts w:cstheme="minorHAnsi"/>
        </w:rPr>
        <w:t>but r</w:t>
      </w:r>
      <w:r w:rsidRPr="00B02E6F" w:rsidR="00A86AF4">
        <w:rPr>
          <w:rFonts w:cstheme="minorHAnsi"/>
        </w:rPr>
        <w:t xml:space="preserve">aise </w:t>
      </w:r>
      <w:proofErr w:type="spellStart"/>
      <w:r w:rsidRPr="00B02E6F" w:rsidR="00A86AF4">
        <w:rPr>
          <w:rFonts w:cstheme="minorHAnsi"/>
        </w:rPr>
        <w:t>Proprep</w:t>
      </w:r>
      <w:proofErr w:type="spellEnd"/>
      <w:r w:rsidRPr="00B02E6F" w:rsidR="00A86AF4">
        <w:rPr>
          <w:rFonts w:cstheme="minorHAnsi"/>
        </w:rPr>
        <w:t xml:space="preserve"> to £15,</w:t>
      </w:r>
      <w:r w:rsidRPr="00B02E6F" w:rsidR="00467F7E">
        <w:rPr>
          <w:rFonts w:cstheme="minorHAnsi"/>
        </w:rPr>
        <w:t xml:space="preserve"> </w:t>
      </w:r>
      <w:r w:rsidRPr="00B02E6F" w:rsidR="00A86AF4">
        <w:rPr>
          <w:rFonts w:cstheme="minorHAnsi"/>
        </w:rPr>
        <w:t>000</w:t>
      </w:r>
      <w:r w:rsidRPr="00B02E6F" w:rsidR="00467F7E">
        <w:rPr>
          <w:rFonts w:cstheme="minorHAnsi"/>
        </w:rPr>
        <w:t xml:space="preserve"> per annum</w:t>
      </w:r>
      <w:r w:rsidRPr="00B02E6F" w:rsidR="00A86AF4">
        <w:rPr>
          <w:rFonts w:cstheme="minorHAnsi"/>
        </w:rPr>
        <w:t xml:space="preserve">. </w:t>
      </w:r>
      <w:proofErr w:type="spellStart"/>
      <w:r w:rsidRPr="00B02E6F" w:rsidR="00A86AF4">
        <w:rPr>
          <w:rFonts w:cstheme="minorHAnsi"/>
        </w:rPr>
        <w:t>Proprep</w:t>
      </w:r>
      <w:proofErr w:type="spellEnd"/>
      <w:r w:rsidRPr="00B02E6F" w:rsidR="00467F7E">
        <w:rPr>
          <w:rFonts w:cstheme="minorHAnsi"/>
        </w:rPr>
        <w:t xml:space="preserve"> is</w:t>
      </w:r>
      <w:r w:rsidRPr="00B02E6F" w:rsidR="00A86AF4">
        <w:rPr>
          <w:rFonts w:cstheme="minorHAnsi"/>
        </w:rPr>
        <w:t xml:space="preserve"> a STEM learning platform, so Imperial students are their target market and they have </w:t>
      </w:r>
      <w:r w:rsidRPr="00B02E6F" w:rsidR="00467F7E">
        <w:rPr>
          <w:rFonts w:cstheme="minorHAnsi"/>
        </w:rPr>
        <w:t xml:space="preserve">reported a huge boost </w:t>
      </w:r>
      <w:r w:rsidRPr="00B02E6F" w:rsidR="00A86AF4">
        <w:rPr>
          <w:rFonts w:cstheme="minorHAnsi"/>
        </w:rPr>
        <w:t xml:space="preserve">to their platform since </w:t>
      </w:r>
      <w:r w:rsidRPr="00B02E6F" w:rsidR="00467F7E">
        <w:rPr>
          <w:rFonts w:cstheme="minorHAnsi"/>
        </w:rPr>
        <w:t xml:space="preserve">our </w:t>
      </w:r>
      <w:r w:rsidRPr="00B02E6F" w:rsidR="00A86AF4">
        <w:rPr>
          <w:rFonts w:cstheme="minorHAnsi"/>
        </w:rPr>
        <w:t xml:space="preserve">partnership </w:t>
      </w:r>
      <w:r w:rsidRPr="00B02E6F" w:rsidR="00467F7E">
        <w:rPr>
          <w:rFonts w:cstheme="minorHAnsi"/>
        </w:rPr>
        <w:t>began</w:t>
      </w:r>
      <w:r w:rsidRPr="00B02E6F" w:rsidR="00A86AF4">
        <w:rPr>
          <w:rFonts w:cstheme="minorHAnsi"/>
        </w:rPr>
        <w:t>.</w:t>
      </w:r>
    </w:p>
    <w:p w:rsidRPr="00B02E6F" w:rsidR="00592045" w:rsidP="00946A87" w:rsidRDefault="00592045" w14:paraId="4F5F593E" w14:textId="77777777">
      <w:pPr>
        <w:jc w:val="both"/>
        <w:rPr>
          <w:rFonts w:cstheme="minorHAnsi"/>
          <w:b/>
          <w:bCs/>
          <w:sz w:val="26"/>
          <w:szCs w:val="26"/>
        </w:rPr>
      </w:pPr>
    </w:p>
    <w:p w:rsidRPr="00B02E6F" w:rsidR="00467F7E" w:rsidP="00946A87" w:rsidRDefault="00467F7E" w14:paraId="23D1DC83" w14:textId="35D4A4E0">
      <w:pPr>
        <w:jc w:val="both"/>
        <w:rPr>
          <w:rFonts w:cstheme="minorHAnsi"/>
          <w:b/>
          <w:bCs/>
          <w:sz w:val="26"/>
          <w:szCs w:val="26"/>
        </w:rPr>
      </w:pPr>
      <w:r w:rsidRPr="00B02E6F">
        <w:rPr>
          <w:rFonts w:cstheme="minorHAnsi"/>
          <w:b/>
          <w:bCs/>
          <w:sz w:val="26"/>
          <w:szCs w:val="26"/>
        </w:rPr>
        <w:t>Rebuilding Relationships</w:t>
      </w:r>
      <w:r w:rsidRPr="00B02E6F" w:rsidR="00523A4E">
        <w:rPr>
          <w:rFonts w:cstheme="minorHAnsi"/>
          <w:b/>
          <w:bCs/>
          <w:sz w:val="26"/>
          <w:szCs w:val="26"/>
        </w:rPr>
        <w:t>:</w:t>
      </w:r>
    </w:p>
    <w:p w:rsidRPr="00B02E6F" w:rsidR="00F474E6" w:rsidP="00946A87" w:rsidRDefault="00F474E6" w14:paraId="450CD225" w14:textId="77777777">
      <w:pPr>
        <w:jc w:val="both"/>
        <w:rPr>
          <w:rFonts w:cstheme="minorHAnsi"/>
          <w:b/>
          <w:bCs/>
          <w:sz w:val="22"/>
          <w:szCs w:val="22"/>
        </w:rPr>
      </w:pPr>
    </w:p>
    <w:p w:rsidRPr="00B02E6F" w:rsidR="00F474E6" w:rsidP="00946A87" w:rsidRDefault="00F474E6" w14:paraId="6902E1D1" w14:textId="04F4F94E">
      <w:pPr>
        <w:jc w:val="both"/>
        <w:rPr>
          <w:rFonts w:cstheme="minorHAnsi"/>
          <w:b/>
          <w:bCs/>
          <w:sz w:val="22"/>
          <w:szCs w:val="22"/>
        </w:rPr>
      </w:pPr>
      <w:r w:rsidRPr="00B02E6F">
        <w:rPr>
          <w:rFonts w:cstheme="minorHAnsi"/>
          <w:b/>
          <w:bCs/>
          <w:sz w:val="22"/>
          <w:szCs w:val="22"/>
        </w:rPr>
        <w:t>Welcome Back Fair</w:t>
      </w:r>
    </w:p>
    <w:p w:rsidRPr="00B02E6F" w:rsidR="00A876FC" w:rsidP="00467F7E" w:rsidRDefault="00A876FC" w14:paraId="0FE5F5D6" w14:textId="129DDE8A">
      <w:pPr>
        <w:jc w:val="both"/>
        <w:rPr>
          <w:rFonts w:cstheme="minorHAnsi"/>
        </w:rPr>
      </w:pPr>
      <w:r w:rsidRPr="00B02E6F">
        <w:rPr>
          <w:rFonts w:cstheme="minorHAnsi"/>
        </w:rPr>
        <w:t xml:space="preserve">We </w:t>
      </w:r>
      <w:r w:rsidRPr="00B02E6F" w:rsidR="003628A9">
        <w:rPr>
          <w:rFonts w:cstheme="minorHAnsi"/>
        </w:rPr>
        <w:t xml:space="preserve">continue to re-engage partners with whom relationships had deteriorated during capacity gaps. As part of this, we held </w:t>
      </w:r>
      <w:r w:rsidRPr="00B02E6F">
        <w:rPr>
          <w:rFonts w:cstheme="minorHAnsi"/>
        </w:rPr>
        <w:t xml:space="preserve">a successful Welcome Back Fair on 22 January. </w:t>
      </w:r>
      <w:r w:rsidRPr="00B02E6F" w:rsidR="00DC7614">
        <w:rPr>
          <w:rFonts w:cstheme="minorHAnsi"/>
        </w:rPr>
        <w:t xml:space="preserve">With previous events failing </w:t>
      </w:r>
      <w:r w:rsidRPr="00B02E6F" w:rsidR="00467F7E">
        <w:rPr>
          <w:rFonts w:cstheme="minorHAnsi"/>
        </w:rPr>
        <w:t>to realise adequate footfall</w:t>
      </w:r>
      <w:r w:rsidRPr="00B02E6F" w:rsidR="00DC7614">
        <w:rPr>
          <w:rFonts w:cstheme="minorHAnsi"/>
        </w:rPr>
        <w:t xml:space="preserve">, the </w:t>
      </w:r>
      <w:r w:rsidRPr="00B02E6F">
        <w:rPr>
          <w:rFonts w:cstheme="minorHAnsi"/>
        </w:rPr>
        <w:t>priorit</w:t>
      </w:r>
      <w:r w:rsidRPr="00B02E6F" w:rsidR="00467F7E">
        <w:rPr>
          <w:rFonts w:cstheme="minorHAnsi"/>
        </w:rPr>
        <w:t>y</w:t>
      </w:r>
      <w:r w:rsidRPr="00B02E6F">
        <w:rPr>
          <w:rFonts w:cstheme="minorHAnsi"/>
        </w:rPr>
        <w:t xml:space="preserve"> </w:t>
      </w:r>
      <w:r w:rsidRPr="00B02E6F" w:rsidR="00DC7614">
        <w:rPr>
          <w:rFonts w:cstheme="minorHAnsi"/>
        </w:rPr>
        <w:t xml:space="preserve">was rebuilding its reputation and </w:t>
      </w:r>
      <w:r w:rsidRPr="00B02E6F">
        <w:rPr>
          <w:rFonts w:cstheme="minorHAnsi"/>
        </w:rPr>
        <w:t>ensuring commercial stallholders had high footfall, engagement, and customer service.</w:t>
      </w:r>
      <w:r w:rsidRPr="00B02E6F" w:rsidR="00DC7614">
        <w:rPr>
          <w:rFonts w:cstheme="minorHAnsi"/>
        </w:rPr>
        <w:t xml:space="preserve"> </w:t>
      </w:r>
      <w:r w:rsidRPr="00B02E6F" w:rsidR="00F474E6">
        <w:rPr>
          <w:rFonts w:cstheme="minorHAnsi"/>
        </w:rPr>
        <w:t xml:space="preserve">Approximately 50 </w:t>
      </w:r>
      <w:r w:rsidRPr="00B02E6F" w:rsidR="00DC7614">
        <w:rPr>
          <w:rFonts w:cstheme="minorHAnsi"/>
        </w:rPr>
        <w:t>CSPs participated</w:t>
      </w:r>
      <w:r w:rsidRPr="00B02E6F" w:rsidR="003628A9">
        <w:rPr>
          <w:rFonts w:cstheme="minorHAnsi"/>
        </w:rPr>
        <w:t xml:space="preserve"> and more College spaces were involved than previously.</w:t>
      </w:r>
      <w:r w:rsidRPr="00B02E6F" w:rsidR="00DC7614">
        <w:rPr>
          <w:rFonts w:cstheme="minorHAnsi"/>
        </w:rPr>
        <w:t xml:space="preserve"> The </w:t>
      </w:r>
      <w:r w:rsidRPr="00B02E6F">
        <w:rPr>
          <w:rFonts w:cstheme="minorHAnsi"/>
        </w:rPr>
        <w:t>success of the event this year has put us in a very strong position going forwar</w:t>
      </w:r>
      <w:r w:rsidRPr="00B02E6F" w:rsidR="00DC7614">
        <w:rPr>
          <w:rFonts w:cstheme="minorHAnsi"/>
        </w:rPr>
        <w:t>d and puts the event back on the College</w:t>
      </w:r>
      <w:r w:rsidRPr="00B02E6F" w:rsidR="003628A9">
        <w:rPr>
          <w:rFonts w:cstheme="minorHAnsi"/>
        </w:rPr>
        <w:t xml:space="preserve"> radar</w:t>
      </w:r>
      <w:r w:rsidRPr="00B02E6F" w:rsidR="00DC7614">
        <w:rPr>
          <w:rFonts w:cstheme="minorHAnsi"/>
        </w:rPr>
        <w:t xml:space="preserve"> which should make it easier to negotiate use of </w:t>
      </w:r>
      <w:r w:rsidRPr="00B02E6F" w:rsidR="003628A9">
        <w:rPr>
          <w:rFonts w:cstheme="minorHAnsi"/>
        </w:rPr>
        <w:t xml:space="preserve">spaces </w:t>
      </w:r>
      <w:r w:rsidRPr="00B02E6F" w:rsidR="00592045">
        <w:rPr>
          <w:rFonts w:cstheme="minorHAnsi"/>
        </w:rPr>
        <w:t xml:space="preserve">and other costs, whilst </w:t>
      </w:r>
      <w:r w:rsidRPr="00B02E6F" w:rsidR="003628A9">
        <w:rPr>
          <w:rFonts w:cstheme="minorHAnsi"/>
        </w:rPr>
        <w:t>secur</w:t>
      </w:r>
      <w:r w:rsidRPr="00B02E6F" w:rsidR="00592045">
        <w:rPr>
          <w:rFonts w:cstheme="minorHAnsi"/>
        </w:rPr>
        <w:t>ing</w:t>
      </w:r>
      <w:r w:rsidRPr="00B02E6F" w:rsidR="003628A9">
        <w:rPr>
          <w:rFonts w:cstheme="minorHAnsi"/>
        </w:rPr>
        <w:t xml:space="preserve"> the participation of partners</w:t>
      </w:r>
      <w:r w:rsidRPr="00B02E6F">
        <w:rPr>
          <w:rFonts w:cstheme="minorHAnsi"/>
        </w:rPr>
        <w:t xml:space="preserve">. </w:t>
      </w:r>
      <w:r w:rsidRPr="00B02E6F" w:rsidR="00DC7614">
        <w:rPr>
          <w:rFonts w:cstheme="minorHAnsi"/>
        </w:rPr>
        <w:t xml:space="preserve">This event realised income of </w:t>
      </w:r>
      <w:r w:rsidRPr="00B02E6F" w:rsidR="00DC7614">
        <w:rPr>
          <w:rFonts w:cstheme="minorHAnsi"/>
        </w:rPr>
        <w:t>£</w:t>
      </w:r>
      <w:r w:rsidRPr="00B02E6F" w:rsidR="00DC7614">
        <w:rPr>
          <w:rFonts w:cstheme="minorHAnsi"/>
        </w:rPr>
        <w:t>4, 000</w:t>
      </w:r>
      <w:r w:rsidR="00A925A8">
        <w:rPr>
          <w:rFonts w:cstheme="minorHAnsi"/>
        </w:rPr>
        <w:t xml:space="preserve"> with the potential for more in future</w:t>
      </w:r>
      <w:r w:rsidRPr="00B02E6F" w:rsidR="00DC7614">
        <w:rPr>
          <w:rFonts w:cstheme="minorHAnsi"/>
        </w:rPr>
        <w:t>.</w:t>
      </w:r>
    </w:p>
    <w:p w:rsidRPr="00B02E6F" w:rsidR="00592045" w:rsidP="00467F7E" w:rsidRDefault="00592045" w14:paraId="6C745E73" w14:textId="475854B8">
      <w:pPr>
        <w:jc w:val="both"/>
        <w:rPr>
          <w:rFonts w:cstheme="minorHAnsi"/>
        </w:rPr>
      </w:pPr>
    </w:p>
    <w:p w:rsidRPr="00B02E6F" w:rsidR="00592045" w:rsidP="00592045" w:rsidRDefault="00592045" w14:paraId="252C01B6" w14:textId="5CD2F0A9">
      <w:pPr>
        <w:jc w:val="both"/>
        <w:rPr>
          <w:rFonts w:cstheme="minorHAnsi"/>
          <w:b/>
          <w:bCs/>
          <w:sz w:val="22"/>
          <w:szCs w:val="22"/>
        </w:rPr>
      </w:pPr>
      <w:r w:rsidRPr="00B02E6F">
        <w:rPr>
          <w:rFonts w:cstheme="minorHAnsi"/>
          <w:b/>
          <w:bCs/>
          <w:sz w:val="22"/>
          <w:szCs w:val="22"/>
        </w:rPr>
        <w:t xml:space="preserve">Marketing Agencies </w:t>
      </w:r>
    </w:p>
    <w:p w:rsidRPr="00B02E6F" w:rsidR="00592045" w:rsidP="00467F7E" w:rsidRDefault="00592045" w14:paraId="22B6E2E6" w14:textId="4658372A">
      <w:pPr>
        <w:jc w:val="both"/>
        <w:rPr>
          <w:rFonts w:cstheme="minorHAnsi"/>
        </w:rPr>
      </w:pPr>
      <w:r w:rsidRPr="00B02E6F">
        <w:rPr>
          <w:rFonts w:cstheme="minorHAnsi"/>
        </w:rPr>
        <w:t xml:space="preserve">We have potential activations from Coca Cola (£1,000), a sports brand (£1,000), and a recruiter (£1,000). These are currently in the planning stages </w:t>
      </w:r>
      <w:r w:rsidRPr="00B02E6F" w:rsidR="00F474E6">
        <w:rPr>
          <w:rFonts w:cstheme="minorHAnsi"/>
        </w:rPr>
        <w:t xml:space="preserve">however they have </w:t>
      </w:r>
      <w:r w:rsidRPr="00B02E6F">
        <w:rPr>
          <w:rFonts w:cstheme="minorHAnsi"/>
        </w:rPr>
        <w:t xml:space="preserve">come through relationships with agencies </w:t>
      </w:r>
      <w:r w:rsidRPr="00B02E6F" w:rsidR="00F474E6">
        <w:rPr>
          <w:rFonts w:cstheme="minorHAnsi"/>
        </w:rPr>
        <w:t xml:space="preserve">with whom we have </w:t>
      </w:r>
      <w:r w:rsidRPr="00B02E6F">
        <w:rPr>
          <w:rFonts w:cstheme="minorHAnsi"/>
        </w:rPr>
        <w:t>rebuil</w:t>
      </w:r>
      <w:r w:rsidRPr="00B02E6F" w:rsidR="00F474E6">
        <w:rPr>
          <w:rFonts w:cstheme="minorHAnsi"/>
        </w:rPr>
        <w:t>t relationships</w:t>
      </w:r>
      <w:r w:rsidRPr="00B02E6F">
        <w:rPr>
          <w:rFonts w:cstheme="minorHAnsi"/>
        </w:rPr>
        <w:t xml:space="preserve"> over the past </w:t>
      </w:r>
      <w:r w:rsidR="00A925A8">
        <w:rPr>
          <w:rFonts w:cstheme="minorHAnsi"/>
        </w:rPr>
        <w:t>six</w:t>
      </w:r>
      <w:r w:rsidRPr="00B02E6F">
        <w:rPr>
          <w:rFonts w:cstheme="minorHAnsi"/>
        </w:rPr>
        <w:t xml:space="preserve"> months</w:t>
      </w:r>
      <w:r w:rsidRPr="00B02E6F" w:rsidR="00F474E6">
        <w:rPr>
          <w:rFonts w:cstheme="minorHAnsi"/>
        </w:rPr>
        <w:t>.</w:t>
      </w:r>
    </w:p>
    <w:p w:rsidRPr="00B02E6F" w:rsidR="00F474E6" w:rsidP="00467F7E" w:rsidRDefault="00F474E6" w14:paraId="2C34E167" w14:textId="77777777">
      <w:pPr>
        <w:jc w:val="both"/>
        <w:rPr>
          <w:rFonts w:cstheme="minorHAnsi"/>
          <w:sz w:val="26"/>
          <w:szCs w:val="26"/>
        </w:rPr>
      </w:pPr>
    </w:p>
    <w:p w:rsidRPr="00B02E6F" w:rsidR="00DC7614" w:rsidP="00DC7614" w:rsidRDefault="00DC7614" w14:paraId="7F273FAB" w14:textId="073921DC">
      <w:pPr>
        <w:jc w:val="both"/>
        <w:rPr>
          <w:rFonts w:cstheme="minorHAnsi"/>
          <w:b/>
          <w:bCs/>
          <w:sz w:val="26"/>
          <w:szCs w:val="26"/>
        </w:rPr>
      </w:pPr>
      <w:r w:rsidRPr="00B02E6F">
        <w:rPr>
          <w:rFonts w:cstheme="minorHAnsi"/>
          <w:b/>
          <w:bCs/>
          <w:sz w:val="26"/>
          <w:szCs w:val="26"/>
        </w:rPr>
        <w:t>Pricing Review</w:t>
      </w:r>
      <w:r w:rsidRPr="00B02E6F" w:rsidR="00523A4E">
        <w:rPr>
          <w:rFonts w:cstheme="minorHAnsi"/>
          <w:b/>
          <w:bCs/>
          <w:sz w:val="26"/>
          <w:szCs w:val="26"/>
        </w:rPr>
        <w:t>:</w:t>
      </w:r>
    </w:p>
    <w:p w:rsidRPr="00B02E6F" w:rsidR="00C52D92" w:rsidP="00A876FC" w:rsidRDefault="00DC7614" w14:paraId="4F49F8D1" w14:textId="589F2376">
      <w:pPr>
        <w:jc w:val="both"/>
        <w:rPr>
          <w:rFonts w:cstheme="minorHAnsi"/>
        </w:rPr>
      </w:pPr>
      <w:r w:rsidRPr="00B02E6F">
        <w:rPr>
          <w:rFonts w:cstheme="minorHAnsi"/>
        </w:rPr>
        <w:t xml:space="preserve">We have begun </w:t>
      </w:r>
      <w:r w:rsidRPr="00B02E6F" w:rsidR="00A876FC">
        <w:rPr>
          <w:rFonts w:cstheme="minorHAnsi"/>
        </w:rPr>
        <w:t xml:space="preserve">to review our pricing structure for the 2020/21 academic year, particularly as </w:t>
      </w:r>
      <w:r w:rsidRPr="00B02E6F" w:rsidR="00C52D92">
        <w:rPr>
          <w:rFonts w:cstheme="minorHAnsi"/>
        </w:rPr>
        <w:t xml:space="preserve">it </w:t>
      </w:r>
      <w:r w:rsidRPr="00B02E6F" w:rsidR="00A876FC">
        <w:rPr>
          <w:rFonts w:cstheme="minorHAnsi"/>
        </w:rPr>
        <w:t>pertains to the Welcome period.</w:t>
      </w:r>
      <w:r w:rsidRPr="00B02E6F">
        <w:rPr>
          <w:rFonts w:cstheme="minorHAnsi"/>
        </w:rPr>
        <w:t xml:space="preserve"> The S&amp;S Manager attributes the 10K shortfall so far to the </w:t>
      </w:r>
      <w:r w:rsidRPr="00B02E6F" w:rsidR="00C52D92">
        <w:rPr>
          <w:rFonts w:cstheme="minorHAnsi"/>
        </w:rPr>
        <w:t xml:space="preserve">comparatively low </w:t>
      </w:r>
      <w:r w:rsidRPr="00B02E6F">
        <w:rPr>
          <w:rFonts w:cstheme="minorHAnsi"/>
        </w:rPr>
        <w:t>price</w:t>
      </w:r>
      <w:r w:rsidRPr="00B02E6F" w:rsidR="00C52D92">
        <w:rPr>
          <w:rFonts w:cstheme="minorHAnsi"/>
        </w:rPr>
        <w:t>-</w:t>
      </w:r>
      <w:r w:rsidRPr="00B02E6F">
        <w:rPr>
          <w:rFonts w:cstheme="minorHAnsi"/>
        </w:rPr>
        <w:t>points for</w:t>
      </w:r>
      <w:r w:rsidRPr="00B02E6F" w:rsidR="00C52D92">
        <w:rPr>
          <w:rFonts w:cstheme="minorHAnsi"/>
        </w:rPr>
        <w:t xml:space="preserve"> </w:t>
      </w:r>
      <w:r w:rsidRPr="00B02E6F">
        <w:rPr>
          <w:rFonts w:cstheme="minorHAnsi"/>
        </w:rPr>
        <w:t>Welcome</w:t>
      </w:r>
      <w:r w:rsidRPr="00B02E6F" w:rsidR="00C52D92">
        <w:rPr>
          <w:rFonts w:cstheme="minorHAnsi"/>
        </w:rPr>
        <w:t xml:space="preserve">, </w:t>
      </w:r>
      <w:r w:rsidRPr="00B02E6F">
        <w:rPr>
          <w:rFonts w:cstheme="minorHAnsi"/>
        </w:rPr>
        <w:t>in particular.</w:t>
      </w:r>
      <w:r w:rsidRPr="00B02E6F" w:rsidR="00C52D92">
        <w:rPr>
          <w:rFonts w:cstheme="minorHAnsi"/>
        </w:rPr>
        <w:t xml:space="preserve"> A</w:t>
      </w:r>
      <w:r w:rsidRPr="00B02E6F" w:rsidR="00A876FC">
        <w:rPr>
          <w:rFonts w:cstheme="minorHAnsi"/>
        </w:rPr>
        <w:t xml:space="preserve"> standard stall at</w:t>
      </w:r>
      <w:r w:rsidRPr="00B02E6F" w:rsidR="00C52D92">
        <w:rPr>
          <w:rFonts w:cstheme="minorHAnsi"/>
        </w:rPr>
        <w:t xml:space="preserve"> Welcome</w:t>
      </w:r>
      <w:r w:rsidRPr="00B02E6F" w:rsidR="00A876FC">
        <w:rPr>
          <w:rFonts w:cstheme="minorHAnsi"/>
        </w:rPr>
        <w:t xml:space="preserve"> Fair cost</w:t>
      </w:r>
      <w:r w:rsidRPr="00B02E6F" w:rsidR="00C52D92">
        <w:rPr>
          <w:rFonts w:cstheme="minorHAnsi"/>
        </w:rPr>
        <w:t>s</w:t>
      </w:r>
      <w:r w:rsidRPr="00B02E6F" w:rsidR="00A876FC">
        <w:rPr>
          <w:rFonts w:cstheme="minorHAnsi"/>
        </w:rPr>
        <w:t xml:space="preserve"> £600+VAT, compared to </w:t>
      </w:r>
      <w:r w:rsidRPr="00B02E6F" w:rsidR="00C52D92">
        <w:rPr>
          <w:rFonts w:cstheme="minorHAnsi"/>
        </w:rPr>
        <w:t>£</w:t>
      </w:r>
      <w:r w:rsidRPr="00B02E6F" w:rsidR="00C52D92">
        <w:rPr>
          <w:rFonts w:cstheme="minorHAnsi"/>
        </w:rPr>
        <w:t xml:space="preserve">750 at Kings, </w:t>
      </w:r>
      <w:r w:rsidRPr="00B02E6F" w:rsidR="00C52D92">
        <w:rPr>
          <w:rFonts w:cstheme="minorHAnsi"/>
        </w:rPr>
        <w:t>£</w:t>
      </w:r>
      <w:r w:rsidRPr="00B02E6F" w:rsidR="00C52D92">
        <w:rPr>
          <w:rFonts w:cstheme="minorHAnsi"/>
        </w:rPr>
        <w:t xml:space="preserve">900 at UCL, </w:t>
      </w:r>
      <w:r w:rsidRPr="00B02E6F" w:rsidR="00A876FC">
        <w:rPr>
          <w:rFonts w:cstheme="minorHAnsi"/>
        </w:rPr>
        <w:t>£1,200 at Manchester SU, £1,100 at Bristol SU, and £900 at Sheffield SU</w:t>
      </w:r>
      <w:r w:rsidRPr="00B02E6F" w:rsidR="00C52D92">
        <w:rPr>
          <w:rFonts w:cstheme="minorHAnsi"/>
        </w:rPr>
        <w:t>. With stall holders extremely pleased with the outturn at this year’s event</w:t>
      </w:r>
      <w:r w:rsidRPr="00B02E6F" w:rsidR="00592045">
        <w:rPr>
          <w:rFonts w:cstheme="minorHAnsi"/>
        </w:rPr>
        <w:t xml:space="preserve"> and the consistency of our outreach</w:t>
      </w:r>
      <w:r w:rsidRPr="00B02E6F" w:rsidR="00C52D92">
        <w:rPr>
          <w:rFonts w:cstheme="minorHAnsi"/>
        </w:rPr>
        <w:t>, there may be some elasticity possible.</w:t>
      </w:r>
    </w:p>
    <w:p w:rsidRPr="00B02E6F" w:rsidR="00523A4E" w:rsidP="00A876FC" w:rsidRDefault="00523A4E" w14:paraId="6C204F97" w14:textId="2E9A3903">
      <w:pPr>
        <w:jc w:val="both"/>
        <w:rPr>
          <w:rFonts w:cstheme="minorHAnsi"/>
        </w:rPr>
      </w:pPr>
    </w:p>
    <w:p w:rsidR="001922AB" w:rsidP="00A876FC" w:rsidRDefault="001922AB" w14:paraId="644F0F09" w14:textId="77777777">
      <w:pPr>
        <w:jc w:val="both"/>
        <w:rPr>
          <w:rFonts w:cstheme="minorHAnsi"/>
          <w:b/>
          <w:bCs/>
          <w:sz w:val="26"/>
          <w:szCs w:val="26"/>
        </w:rPr>
      </w:pPr>
    </w:p>
    <w:p w:rsidRPr="00B02E6F" w:rsidR="00A876FC" w:rsidP="00A876FC" w:rsidRDefault="00A925A8" w14:paraId="240FC697" w14:textId="28C9E47B">
      <w:pPr>
        <w:jc w:val="both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lastRenderedPageBreak/>
        <w:t>Q4 Risk</w:t>
      </w:r>
    </w:p>
    <w:p w:rsidRPr="00B02E6F" w:rsidR="00523A4E" w:rsidP="00A876FC" w:rsidRDefault="00523A4E" w14:paraId="75125D02" w14:textId="61E9F6F6">
      <w:pPr>
        <w:jc w:val="both"/>
        <w:rPr>
          <w:rFonts w:cstheme="minorHAnsi"/>
        </w:rPr>
      </w:pPr>
      <w:r w:rsidRPr="00B02E6F">
        <w:rPr>
          <w:rFonts w:cstheme="minorHAnsi"/>
        </w:rPr>
        <w:t xml:space="preserve">We continue to explore new revenue channels, and these will form part of the strategy to realise the income for the fourth quarter which </w:t>
      </w:r>
      <w:r w:rsidRPr="00B02E6F" w:rsidR="00B02E6F">
        <w:rPr>
          <w:rFonts w:cstheme="minorHAnsi"/>
        </w:rPr>
        <w:t>was</w:t>
      </w:r>
      <w:r w:rsidRPr="00B02E6F">
        <w:rPr>
          <w:rFonts w:cstheme="minorHAnsi"/>
        </w:rPr>
        <w:t xml:space="preserve"> aspirational</w:t>
      </w:r>
      <w:r w:rsidRPr="00B02E6F" w:rsidR="00B02E6F">
        <w:rPr>
          <w:rFonts w:cstheme="minorHAnsi"/>
        </w:rPr>
        <w:t xml:space="preserve">, due to lack of precedent and untested assumptions. This </w:t>
      </w:r>
      <w:r w:rsidRPr="00B02E6F">
        <w:rPr>
          <w:rFonts w:cstheme="minorHAnsi"/>
        </w:rPr>
        <w:t xml:space="preserve">moved the annual budget for this area from 120K in previous years to </w:t>
      </w:r>
      <w:r w:rsidRPr="00B02E6F">
        <w:rPr>
          <w:rFonts w:cstheme="minorHAnsi"/>
          <w:sz w:val="22"/>
          <w:szCs w:val="22"/>
        </w:rPr>
        <w:t>£</w:t>
      </w:r>
      <w:r w:rsidRPr="00B02E6F">
        <w:rPr>
          <w:rFonts w:cstheme="minorHAnsi"/>
        </w:rPr>
        <w:t>139, 550.</w:t>
      </w:r>
      <w:r w:rsidRPr="00B02E6F" w:rsidR="00B02E6F">
        <w:rPr>
          <w:rFonts w:cstheme="minorHAnsi"/>
        </w:rPr>
        <w:t xml:space="preserve"> We have not reforecast downwards and remain aspirational with the intention to:</w:t>
      </w:r>
    </w:p>
    <w:p w:rsidRPr="00B02E6F" w:rsidR="00B02E6F" w:rsidP="00A876FC" w:rsidRDefault="00B02E6F" w14:paraId="2AC6F525" w14:textId="77777777">
      <w:pPr>
        <w:jc w:val="both"/>
        <w:rPr>
          <w:rFonts w:cstheme="minorHAnsi"/>
        </w:rPr>
      </w:pPr>
    </w:p>
    <w:p w:rsidRPr="00B02E6F" w:rsidR="00523A4E" w:rsidP="00B02E6F" w:rsidRDefault="00B02E6F" w14:paraId="021D10E4" w14:textId="434E1E10">
      <w:pPr>
        <w:pStyle w:val="ListParagraph"/>
        <w:numPr>
          <w:ilvl w:val="0"/>
          <w:numId w:val="8"/>
        </w:numPr>
        <w:jc w:val="both"/>
        <w:rPr>
          <w:rFonts w:cstheme="minorHAnsi"/>
        </w:rPr>
      </w:pPr>
      <w:r w:rsidRPr="00B02E6F">
        <w:rPr>
          <w:rFonts w:cstheme="minorHAnsi"/>
        </w:rPr>
        <w:t>E</w:t>
      </w:r>
      <w:r w:rsidRPr="00B02E6F" w:rsidR="00523A4E">
        <w:rPr>
          <w:rFonts w:cstheme="minorHAnsi"/>
        </w:rPr>
        <w:t>xplor</w:t>
      </w:r>
      <w:r w:rsidRPr="00B02E6F">
        <w:rPr>
          <w:rFonts w:cstheme="minorHAnsi"/>
        </w:rPr>
        <w:t xml:space="preserve">e new </w:t>
      </w:r>
      <w:r w:rsidRPr="00B02E6F" w:rsidR="00523A4E">
        <w:rPr>
          <w:rFonts w:cstheme="minorHAnsi"/>
        </w:rPr>
        <w:t xml:space="preserve">graduation activities </w:t>
      </w:r>
    </w:p>
    <w:p w:rsidRPr="00B02E6F" w:rsidR="00B02E6F" w:rsidP="00B02E6F" w:rsidRDefault="00B02E6F" w14:paraId="406D40E9" w14:textId="35A7927F">
      <w:pPr>
        <w:pStyle w:val="ListParagraph"/>
        <w:numPr>
          <w:ilvl w:val="0"/>
          <w:numId w:val="8"/>
        </w:numPr>
        <w:jc w:val="both"/>
        <w:rPr>
          <w:rFonts w:cstheme="minorHAnsi"/>
        </w:rPr>
      </w:pPr>
      <w:r w:rsidRPr="00B02E6F">
        <w:rPr>
          <w:rFonts w:cstheme="minorHAnsi"/>
        </w:rPr>
        <w:t>Continue discussions with Uber Eats regarding Summer Ball</w:t>
      </w:r>
    </w:p>
    <w:p w:rsidRPr="00B02E6F" w:rsidR="00B02E6F" w:rsidP="00B02E6F" w:rsidRDefault="00B02E6F" w14:paraId="26E43444" w14:textId="6C87FA8C">
      <w:pPr>
        <w:pStyle w:val="ListParagraph"/>
        <w:numPr>
          <w:ilvl w:val="0"/>
          <w:numId w:val="8"/>
        </w:numPr>
        <w:jc w:val="both"/>
        <w:rPr>
          <w:rFonts w:cstheme="minorHAnsi"/>
        </w:rPr>
      </w:pPr>
      <w:r w:rsidRPr="00B02E6F">
        <w:rPr>
          <w:rFonts w:cstheme="minorHAnsi"/>
        </w:rPr>
        <w:t>Explore prize/event sponsors for the new Student Choice Awards</w:t>
      </w:r>
    </w:p>
    <w:p w:rsidRPr="00B02E6F" w:rsidR="00B02E6F" w:rsidP="00B02E6F" w:rsidRDefault="00B02E6F" w14:paraId="37A3B5E9" w14:textId="7B459043">
      <w:pPr>
        <w:pStyle w:val="ListParagraph"/>
        <w:numPr>
          <w:ilvl w:val="0"/>
          <w:numId w:val="8"/>
        </w:numPr>
        <w:jc w:val="both"/>
        <w:rPr>
          <w:rFonts w:cstheme="minorHAnsi"/>
        </w:rPr>
      </w:pPr>
      <w:r w:rsidRPr="00B02E6F">
        <w:rPr>
          <w:rFonts w:cstheme="minorHAnsi"/>
        </w:rPr>
        <w:t xml:space="preserve">Accommodation Fair </w:t>
      </w:r>
      <w:r w:rsidR="00A925A8">
        <w:rPr>
          <w:rFonts w:cstheme="minorHAnsi"/>
        </w:rPr>
        <w:t>activity</w:t>
      </w:r>
    </w:p>
    <w:p w:rsidRPr="00D34AF4" w:rsidR="00B02E6F" w:rsidP="00A876FC" w:rsidRDefault="00B02E6F" w14:paraId="5778DE81" w14:textId="77777777">
      <w:pPr>
        <w:jc w:val="both"/>
        <w:rPr>
          <w:rFonts w:cstheme="minorHAnsi"/>
          <w:sz w:val="26"/>
          <w:szCs w:val="26"/>
        </w:rPr>
      </w:pPr>
    </w:p>
    <w:p w:rsidRPr="00D34AF4" w:rsidR="00D34AF4" w:rsidP="002D013A" w:rsidRDefault="00B02E6F" w14:paraId="658F9ABA" w14:textId="77777777">
      <w:pPr>
        <w:rPr>
          <w:rFonts w:eastAsia="Times New Roman" w:cstheme="minorHAnsi"/>
          <w:b/>
          <w:bCs/>
          <w:sz w:val="26"/>
          <w:szCs w:val="26"/>
          <w:lang w:eastAsia="en-GB"/>
        </w:rPr>
      </w:pPr>
      <w:r w:rsidRPr="00D34AF4">
        <w:rPr>
          <w:rFonts w:eastAsia="Times New Roman" w:cstheme="minorHAnsi"/>
          <w:b/>
          <w:bCs/>
          <w:sz w:val="26"/>
          <w:szCs w:val="26"/>
          <w:lang w:eastAsia="en-GB"/>
        </w:rPr>
        <w:t>Staffing</w:t>
      </w:r>
    </w:p>
    <w:p w:rsidR="00B02E6F" w:rsidP="002D013A" w:rsidRDefault="00B02E6F" w14:paraId="346A7F3A" w14:textId="54B8B9E6">
      <w:pPr>
        <w:rPr>
          <w:rFonts w:eastAsia="Times New Roman" w:cstheme="minorHAnsi"/>
          <w:lang w:eastAsia="en-GB"/>
        </w:rPr>
      </w:pPr>
      <w:r w:rsidRPr="00B02E6F">
        <w:rPr>
          <w:rFonts w:eastAsia="Times New Roman" w:cstheme="minorHAnsi"/>
          <w:lang w:eastAsia="en-GB"/>
        </w:rPr>
        <w:t>The Sales &amp; Sponsorship Manager continues to perform well in this role, and unlik</w:t>
      </w:r>
      <w:r w:rsidR="00A925A8">
        <w:rPr>
          <w:rFonts w:eastAsia="Times New Roman" w:cstheme="minorHAnsi"/>
          <w:lang w:eastAsia="en-GB"/>
        </w:rPr>
        <w:t>e immediate past</w:t>
      </w:r>
      <w:r w:rsidRPr="00B02E6F">
        <w:rPr>
          <w:rFonts w:eastAsia="Times New Roman" w:cstheme="minorHAnsi"/>
          <w:lang w:eastAsia="en-GB"/>
        </w:rPr>
        <w:t xml:space="preserve"> postholders, is solely focussed on this area, allowing us to see what a full year of activity looks like and allowing for more informed budgeting in successive years.</w:t>
      </w:r>
    </w:p>
    <w:p w:rsidR="001922AB" w:rsidP="002D013A" w:rsidRDefault="001922AB" w14:paraId="4DC09587" w14:textId="7035483D">
      <w:pPr>
        <w:rPr>
          <w:rFonts w:eastAsia="Times New Roman" w:cstheme="minorHAnsi"/>
          <w:lang w:eastAsia="en-GB"/>
        </w:rPr>
      </w:pPr>
    </w:p>
    <w:p w:rsidRPr="00B02E6F" w:rsidR="001922AB" w:rsidP="6B337386" w:rsidRDefault="001922AB" w14:paraId="47213117" w14:textId="3C04F484">
      <w:pPr>
        <w:rPr>
          <w:rFonts w:eastAsia="Times New Roman" w:cs="Calibri" w:cstheme="minorAscii"/>
          <w:lang w:eastAsia="en-GB"/>
        </w:rPr>
      </w:pPr>
      <w:r w:rsidRPr="6B337386" w:rsidR="001922AB">
        <w:rPr>
          <w:rFonts w:eastAsia="Times New Roman" w:cs="Calibri" w:cstheme="minorAscii"/>
          <w:lang w:eastAsia="en-GB"/>
        </w:rPr>
        <w:t>With only one postholder engaged in this activity in the Union, retention is always</w:t>
      </w:r>
      <w:r w:rsidRPr="6B337386" w:rsidR="5BBCA623">
        <w:rPr>
          <w:rFonts w:eastAsia="Times New Roman" w:cs="Calibri" w:cstheme="minorAscii"/>
          <w:lang w:eastAsia="en-GB"/>
        </w:rPr>
        <w:t xml:space="preserve"> a risk</w:t>
      </w:r>
      <w:r w:rsidRPr="6B337386" w:rsidR="001922AB">
        <w:rPr>
          <w:rFonts w:eastAsia="Times New Roman" w:cs="Calibri" w:cstheme="minorAscii"/>
          <w:lang w:eastAsia="en-GB"/>
        </w:rPr>
        <w:t>, but there are no specific concerns.</w:t>
      </w:r>
      <w:bookmarkStart w:name="_GoBack" w:id="0"/>
      <w:bookmarkEnd w:id="0"/>
    </w:p>
    <w:sectPr w:rsidRPr="00B02E6F" w:rsidR="001922AB" w:rsidSect="004608E1">
      <w:pgSz w:w="11900" w:h="16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D231B"/>
    <w:multiLevelType w:val="hybridMultilevel"/>
    <w:tmpl w:val="EC2277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518443B"/>
    <w:multiLevelType w:val="hybridMultilevel"/>
    <w:tmpl w:val="9C9A58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EF1125A"/>
    <w:multiLevelType w:val="hybridMultilevel"/>
    <w:tmpl w:val="935E1D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B8750D2"/>
    <w:multiLevelType w:val="hybridMultilevel"/>
    <w:tmpl w:val="812291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0516847"/>
    <w:multiLevelType w:val="hybridMultilevel"/>
    <w:tmpl w:val="748489A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5C11D2C"/>
    <w:multiLevelType w:val="hybridMultilevel"/>
    <w:tmpl w:val="B9CA23C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7F471EB"/>
    <w:multiLevelType w:val="multilevel"/>
    <w:tmpl w:val="32068BE8"/>
    <w:lvl w:ilvl="0">
      <w:start w:val="2020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21"/>
      <w:numFmt w:val="decimal"/>
      <w:lvlText w:val="%1-%2"/>
      <w:lvlJc w:val="left"/>
      <w:pPr>
        <w:ind w:left="79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9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4A938E7"/>
    <w:multiLevelType w:val="hybridMultilevel"/>
    <w:tmpl w:val="822423D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D4D"/>
    <w:rsid w:val="000A05FE"/>
    <w:rsid w:val="00117ECF"/>
    <w:rsid w:val="00191722"/>
    <w:rsid w:val="001922AB"/>
    <w:rsid w:val="001B3255"/>
    <w:rsid w:val="002D013A"/>
    <w:rsid w:val="003628A9"/>
    <w:rsid w:val="003D3E82"/>
    <w:rsid w:val="004608E1"/>
    <w:rsid w:val="00467F7E"/>
    <w:rsid w:val="00523A4E"/>
    <w:rsid w:val="00592045"/>
    <w:rsid w:val="00596B92"/>
    <w:rsid w:val="005E273B"/>
    <w:rsid w:val="00607D4D"/>
    <w:rsid w:val="00620E64"/>
    <w:rsid w:val="006C7289"/>
    <w:rsid w:val="006E1638"/>
    <w:rsid w:val="00732D8C"/>
    <w:rsid w:val="007637E2"/>
    <w:rsid w:val="00946A87"/>
    <w:rsid w:val="009962D6"/>
    <w:rsid w:val="009F7EE3"/>
    <w:rsid w:val="00A86AF4"/>
    <w:rsid w:val="00A876FC"/>
    <w:rsid w:val="00A925A8"/>
    <w:rsid w:val="00B02E6F"/>
    <w:rsid w:val="00BB0B01"/>
    <w:rsid w:val="00C52D92"/>
    <w:rsid w:val="00D14D04"/>
    <w:rsid w:val="00D34AF4"/>
    <w:rsid w:val="00DC7614"/>
    <w:rsid w:val="00E94EC9"/>
    <w:rsid w:val="00EA1AEC"/>
    <w:rsid w:val="00ED0EA5"/>
    <w:rsid w:val="00EF357A"/>
    <w:rsid w:val="00F21BB9"/>
    <w:rsid w:val="00F474E6"/>
    <w:rsid w:val="00FC761F"/>
    <w:rsid w:val="00FF6693"/>
    <w:rsid w:val="5BBCA623"/>
    <w:rsid w:val="6469C049"/>
    <w:rsid w:val="6B33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BF15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ED0EA5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eGrid">
    <w:name w:val="Table Grid"/>
    <w:basedOn w:val="TableNormal"/>
    <w:uiPriority w:val="39"/>
    <w:rsid w:val="00ED0EA5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A876FC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1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jpeg" Id="rId6" /><Relationship Type="http://schemas.openxmlformats.org/officeDocument/2006/relationships/customXml" Target="../customXml/item4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5427089BE2EC43B5C68DD5A31F1834" ma:contentTypeVersion="6" ma:contentTypeDescription="Create a new document." ma:contentTypeScope="" ma:versionID="4eda60f4426a8a694bfd73cbdee38fb3">
  <xsd:schema xmlns:xsd="http://www.w3.org/2001/XMLSchema" xmlns:xs="http://www.w3.org/2001/XMLSchema" xmlns:p="http://schemas.microsoft.com/office/2006/metadata/properties" xmlns:ns2="fc71e851-029c-4432-82bb-3ff89f62f0df" xmlns:ns3="5a3e2baa-b2d4-4c01-984d-67f701d048c9" targetNamespace="http://schemas.microsoft.com/office/2006/metadata/properties" ma:root="true" ma:fieldsID="2a08c637fa54398d43b27bf181fc282d" ns2:_="" ns3:_="">
    <xsd:import namespace="fc71e851-029c-4432-82bb-3ff89f62f0df"/>
    <xsd:import namespace="5a3e2baa-b2d4-4c01-984d-67f701d048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1e851-029c-4432-82bb-3ff89f62f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e2baa-b2d4-4c01-984d-67f701d048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B970C5-92F9-4C17-A986-75544605FF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0EEE35-A720-4018-8FC0-F2C86951B358}"/>
</file>

<file path=customXml/itemProps3.xml><?xml version="1.0" encoding="utf-8"?>
<ds:datastoreItem xmlns:ds="http://schemas.openxmlformats.org/officeDocument/2006/customXml" ds:itemID="{CB168C32-1358-40B1-BA52-56B4D260BCFE}"/>
</file>

<file path=customXml/itemProps4.xml><?xml version="1.0" encoding="utf-8"?>
<ds:datastoreItem xmlns:ds="http://schemas.openxmlformats.org/officeDocument/2006/customXml" ds:itemID="{97B7716D-B1A0-4609-B786-1FB482098FD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Lee, Keriann K</dc:creator>
  <keywords/>
  <dc:description/>
  <lastModifiedBy>Lee, Keriann K</lastModifiedBy>
  <revision>8</revision>
  <dcterms:created xsi:type="dcterms:W3CDTF">2019-10-10T17:44:00.0000000Z</dcterms:created>
  <dcterms:modified xsi:type="dcterms:W3CDTF">2020-02-04T18:38:51.8985132Z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0x010100D95427089BE2EC43B5C68DD5A31F1834</vt:lpwstr>
  </property>
</Properties>
</file>