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8C7A" w14:textId="77777777" w:rsidR="000802ED" w:rsidRDefault="00B873EB" w:rsidP="00B873EB">
      <w:pPr>
        <w:jc w:val="center"/>
      </w:pPr>
      <w:bookmarkStart w:id="0" w:name="_GoBack"/>
      <w:bookmarkEnd w:id="0"/>
      <w:r w:rsidRPr="00FE5124">
        <w:rPr>
          <w:rFonts w:ascii="Arial" w:hAnsi="Arial" w:cs="Arial"/>
          <w:noProof/>
          <w:lang w:eastAsia="en-GB"/>
        </w:rPr>
        <w:drawing>
          <wp:inline distT="0" distB="0" distL="0" distR="0" wp14:anchorId="06A38C91" wp14:editId="06A38C92">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8"/>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06A38C7B" w14:textId="77777777" w:rsidR="00B873EB" w:rsidRDefault="00B873EB" w:rsidP="00B873EB">
      <w:pPr>
        <w:pStyle w:val="Default"/>
      </w:pPr>
    </w:p>
    <w:p w14:paraId="3E18CCE3" w14:textId="7E265429" w:rsidR="00B873EB" w:rsidRDefault="00B873EB" w:rsidP="2566FF1D">
      <w:pPr>
        <w:jc w:val="center"/>
        <w:rPr>
          <w:b/>
          <w:bCs/>
          <w:sz w:val="28"/>
          <w:szCs w:val="28"/>
        </w:rPr>
      </w:pPr>
      <w:r>
        <w:t xml:space="preserve"> </w:t>
      </w:r>
      <w:r w:rsidRPr="2566FF1D">
        <w:rPr>
          <w:b/>
          <w:bCs/>
          <w:sz w:val="28"/>
          <w:szCs w:val="28"/>
        </w:rPr>
        <w:t xml:space="preserve">Imperial College Union </w:t>
      </w:r>
    </w:p>
    <w:p w14:paraId="06A38C7C" w14:textId="63E105B8" w:rsidR="00B873EB" w:rsidRDefault="005529D8" w:rsidP="2566FF1D">
      <w:pPr>
        <w:jc w:val="center"/>
        <w:rPr>
          <w:b/>
          <w:bCs/>
          <w:sz w:val="28"/>
          <w:szCs w:val="28"/>
        </w:rPr>
      </w:pPr>
      <w:r w:rsidRPr="2566FF1D">
        <w:rPr>
          <w:b/>
          <w:bCs/>
          <w:sz w:val="28"/>
          <w:szCs w:val="28"/>
        </w:rPr>
        <w:t>Finance and Risk</w:t>
      </w:r>
      <w:r w:rsidR="00B873EB" w:rsidRPr="2566FF1D">
        <w:rPr>
          <w:b/>
          <w:bCs/>
          <w:sz w:val="28"/>
          <w:szCs w:val="28"/>
        </w:rPr>
        <w:t xml:space="preserve"> Committee</w:t>
      </w:r>
    </w:p>
    <w:p w14:paraId="06A38C7D" w14:textId="247CE334" w:rsidR="00B873EB" w:rsidRDefault="79905477" w:rsidP="2566FF1D">
      <w:pPr>
        <w:jc w:val="center"/>
        <w:rPr>
          <w:b/>
          <w:bCs/>
          <w:color w:val="FF0000"/>
          <w:sz w:val="28"/>
          <w:szCs w:val="28"/>
        </w:rPr>
      </w:pPr>
      <w:r w:rsidRPr="2566FF1D">
        <w:rPr>
          <w:b/>
          <w:bCs/>
          <w:color w:val="FF0000"/>
          <w:sz w:val="28"/>
          <w:szCs w:val="28"/>
        </w:rPr>
        <w:t xml:space="preserve">Wednesday 16 October </w:t>
      </w:r>
    </w:p>
    <w:p w14:paraId="5134447D" w14:textId="1D098AE1" w:rsidR="2566FF1D" w:rsidRDefault="2566FF1D" w:rsidP="2566FF1D">
      <w:pPr>
        <w:jc w:val="center"/>
        <w:rPr>
          <w:b/>
          <w:bCs/>
          <w:color w:val="FF0000"/>
          <w:sz w:val="28"/>
          <w:szCs w:val="28"/>
        </w:rPr>
      </w:pPr>
    </w:p>
    <w:tbl>
      <w:tblPr>
        <w:tblStyle w:val="TableGrid"/>
        <w:tblW w:w="8896" w:type="dxa"/>
        <w:tblLook w:val="04A0" w:firstRow="1" w:lastRow="0" w:firstColumn="1" w:lastColumn="0" w:noHBand="0" w:noVBand="1"/>
      </w:tblPr>
      <w:tblGrid>
        <w:gridCol w:w="3315"/>
        <w:gridCol w:w="5581"/>
      </w:tblGrid>
      <w:tr w:rsidR="00B873EB" w14:paraId="06A38C80" w14:textId="77777777" w:rsidTr="2566FF1D">
        <w:trPr>
          <w:trHeight w:val="902"/>
        </w:trPr>
        <w:tc>
          <w:tcPr>
            <w:tcW w:w="3315" w:type="dxa"/>
          </w:tcPr>
          <w:p w14:paraId="06A38C7E" w14:textId="77777777" w:rsidR="00B873EB" w:rsidRPr="00B873EB" w:rsidRDefault="00B873EB" w:rsidP="00B873EB">
            <w:pPr>
              <w:rPr>
                <w:b/>
                <w:color w:val="FF0000"/>
                <w:sz w:val="28"/>
                <w:szCs w:val="28"/>
              </w:rPr>
            </w:pPr>
            <w:r w:rsidRPr="00B873EB">
              <w:rPr>
                <w:b/>
                <w:color w:val="000000" w:themeColor="text1"/>
                <w:sz w:val="28"/>
                <w:szCs w:val="28"/>
              </w:rPr>
              <w:t>AGENDA ITEM NO.</w:t>
            </w:r>
          </w:p>
        </w:tc>
        <w:tc>
          <w:tcPr>
            <w:tcW w:w="5581" w:type="dxa"/>
          </w:tcPr>
          <w:p w14:paraId="44ED010E" w14:textId="3F0F203E" w:rsidR="00B873EB" w:rsidRDefault="00B873EB" w:rsidP="2566FF1D">
            <w:pPr>
              <w:spacing w:line="259" w:lineRule="auto"/>
              <w:jc w:val="center"/>
              <w:rPr>
                <w:b/>
                <w:bCs/>
                <w:color w:val="000000" w:themeColor="text1"/>
                <w:sz w:val="28"/>
                <w:szCs w:val="28"/>
              </w:rPr>
            </w:pPr>
          </w:p>
          <w:p w14:paraId="06A38C7F" w14:textId="66C3F9D6" w:rsidR="00B873EB" w:rsidRDefault="4E5E27F2" w:rsidP="2566FF1D">
            <w:pPr>
              <w:spacing w:line="259" w:lineRule="auto"/>
              <w:jc w:val="center"/>
              <w:rPr>
                <w:b/>
                <w:bCs/>
                <w:color w:val="000000" w:themeColor="text1"/>
                <w:sz w:val="28"/>
                <w:szCs w:val="28"/>
              </w:rPr>
            </w:pPr>
            <w:r w:rsidRPr="2566FF1D">
              <w:rPr>
                <w:b/>
                <w:bCs/>
                <w:color w:val="000000" w:themeColor="text1"/>
                <w:sz w:val="28"/>
                <w:szCs w:val="28"/>
              </w:rPr>
              <w:t xml:space="preserve">Item 07 </w:t>
            </w:r>
          </w:p>
        </w:tc>
      </w:tr>
      <w:tr w:rsidR="00B873EB" w14:paraId="06A38C83" w14:textId="77777777" w:rsidTr="2566FF1D">
        <w:trPr>
          <w:trHeight w:val="943"/>
        </w:trPr>
        <w:tc>
          <w:tcPr>
            <w:tcW w:w="3315" w:type="dxa"/>
          </w:tcPr>
          <w:p w14:paraId="06A38C81" w14:textId="77777777" w:rsidR="00B873EB" w:rsidRPr="00B873EB" w:rsidRDefault="00B873EB" w:rsidP="2566FF1D">
            <w:pPr>
              <w:spacing w:line="259" w:lineRule="auto"/>
              <w:rPr>
                <w:b/>
                <w:bCs/>
                <w:color w:val="000000" w:themeColor="text1"/>
                <w:sz w:val="28"/>
                <w:szCs w:val="28"/>
              </w:rPr>
            </w:pPr>
            <w:r w:rsidRPr="2566FF1D">
              <w:rPr>
                <w:b/>
                <w:bCs/>
                <w:color w:val="000000" w:themeColor="text1"/>
                <w:sz w:val="28"/>
                <w:szCs w:val="28"/>
              </w:rPr>
              <w:t>TITLE</w:t>
            </w:r>
          </w:p>
        </w:tc>
        <w:tc>
          <w:tcPr>
            <w:tcW w:w="5581" w:type="dxa"/>
          </w:tcPr>
          <w:p w14:paraId="06A38C82" w14:textId="1F51B7B7" w:rsidR="00B873EB" w:rsidRDefault="68B3AC50" w:rsidP="2566FF1D">
            <w:pPr>
              <w:spacing w:line="259" w:lineRule="auto"/>
              <w:jc w:val="center"/>
              <w:rPr>
                <w:b/>
                <w:bCs/>
                <w:color w:val="000000" w:themeColor="text1"/>
                <w:sz w:val="28"/>
                <w:szCs w:val="28"/>
              </w:rPr>
            </w:pPr>
            <w:r w:rsidRPr="2566FF1D">
              <w:rPr>
                <w:b/>
                <w:bCs/>
                <w:color w:val="000000" w:themeColor="text1"/>
                <w:sz w:val="28"/>
                <w:szCs w:val="28"/>
              </w:rPr>
              <w:t xml:space="preserve">Overview of Key </w:t>
            </w:r>
            <w:r w:rsidR="13AD5B34" w:rsidRPr="2566FF1D">
              <w:rPr>
                <w:b/>
                <w:bCs/>
                <w:color w:val="000000" w:themeColor="text1"/>
                <w:sz w:val="28"/>
                <w:szCs w:val="28"/>
              </w:rPr>
              <w:t xml:space="preserve">Financial </w:t>
            </w:r>
            <w:r w:rsidRPr="2566FF1D">
              <w:rPr>
                <w:b/>
                <w:bCs/>
                <w:color w:val="000000" w:themeColor="text1"/>
                <w:sz w:val="28"/>
                <w:szCs w:val="28"/>
              </w:rPr>
              <w:t>Deliverables</w:t>
            </w:r>
          </w:p>
        </w:tc>
      </w:tr>
      <w:tr w:rsidR="00B873EB" w14:paraId="06A38C86" w14:textId="77777777" w:rsidTr="2566FF1D">
        <w:trPr>
          <w:trHeight w:val="902"/>
        </w:trPr>
        <w:tc>
          <w:tcPr>
            <w:tcW w:w="3315" w:type="dxa"/>
          </w:tcPr>
          <w:p w14:paraId="06A38C84" w14:textId="77777777" w:rsidR="00B873EB" w:rsidRPr="00B873EB" w:rsidRDefault="00B873EB" w:rsidP="00B873EB">
            <w:pPr>
              <w:rPr>
                <w:b/>
                <w:color w:val="000000" w:themeColor="text1"/>
                <w:sz w:val="28"/>
                <w:szCs w:val="28"/>
              </w:rPr>
            </w:pPr>
            <w:r w:rsidRPr="00B873EB">
              <w:rPr>
                <w:b/>
                <w:color w:val="000000" w:themeColor="text1"/>
                <w:sz w:val="28"/>
                <w:szCs w:val="28"/>
              </w:rPr>
              <w:t>AUTHOR</w:t>
            </w:r>
          </w:p>
        </w:tc>
        <w:tc>
          <w:tcPr>
            <w:tcW w:w="5581" w:type="dxa"/>
          </w:tcPr>
          <w:p w14:paraId="06A38C85" w14:textId="054C41C3" w:rsidR="00B873EB" w:rsidRDefault="1FC370CC" w:rsidP="2566FF1D">
            <w:pPr>
              <w:spacing w:line="259" w:lineRule="auto"/>
              <w:jc w:val="center"/>
              <w:rPr>
                <w:b/>
                <w:bCs/>
                <w:color w:val="000000" w:themeColor="text1"/>
                <w:sz w:val="28"/>
                <w:szCs w:val="28"/>
              </w:rPr>
            </w:pPr>
            <w:r w:rsidRPr="2566FF1D">
              <w:rPr>
                <w:b/>
                <w:bCs/>
                <w:color w:val="000000" w:themeColor="text1"/>
                <w:sz w:val="28"/>
                <w:szCs w:val="28"/>
              </w:rPr>
              <w:t xml:space="preserve">Malcolm Martin </w:t>
            </w:r>
          </w:p>
        </w:tc>
      </w:tr>
      <w:tr w:rsidR="00B873EB" w14:paraId="06A38C89" w14:textId="77777777" w:rsidTr="2566FF1D">
        <w:trPr>
          <w:trHeight w:val="943"/>
        </w:trPr>
        <w:tc>
          <w:tcPr>
            <w:tcW w:w="3315" w:type="dxa"/>
          </w:tcPr>
          <w:p w14:paraId="06A38C87" w14:textId="77777777" w:rsidR="00B873EB" w:rsidRPr="00B873EB" w:rsidRDefault="00B873EB" w:rsidP="00B873EB">
            <w:pPr>
              <w:rPr>
                <w:b/>
                <w:color w:val="000000" w:themeColor="text1"/>
                <w:sz w:val="28"/>
                <w:szCs w:val="28"/>
              </w:rPr>
            </w:pPr>
            <w:r w:rsidRPr="00B873EB">
              <w:rPr>
                <w:b/>
                <w:color w:val="000000" w:themeColor="text1"/>
                <w:sz w:val="28"/>
                <w:szCs w:val="28"/>
              </w:rPr>
              <w:t>EXECUTIVE SUMMARY</w:t>
            </w:r>
          </w:p>
        </w:tc>
        <w:tc>
          <w:tcPr>
            <w:tcW w:w="5581" w:type="dxa"/>
          </w:tcPr>
          <w:p w14:paraId="1A6F83E6" w14:textId="7D7C2424" w:rsidR="00B873EB" w:rsidRDefault="2DA10E83" w:rsidP="2566FF1D">
            <w:r w:rsidRPr="2566FF1D">
              <w:t xml:space="preserve">As the activities and events of the current financial year unfold, attention </w:t>
            </w:r>
            <w:r w:rsidR="7346C26D" w:rsidRPr="2566FF1D">
              <w:t>is</w:t>
            </w:r>
            <w:r w:rsidRPr="2566FF1D">
              <w:t xml:space="preserve"> drawn to 4 key financial deliverables which if successfully delivered the Union will be significantly on the way to achieving its financial objective for 2019/2020. </w:t>
            </w:r>
          </w:p>
          <w:p w14:paraId="5B6608DB" w14:textId="7A4624CB" w:rsidR="00B873EB" w:rsidRDefault="3C2334CF" w:rsidP="2566FF1D">
            <w:pPr>
              <w:spacing w:line="259" w:lineRule="auto"/>
            </w:pPr>
            <w:r w:rsidRPr="2566FF1D">
              <w:t>This paper is not a commentary on the business plan objectives nor a reforecast exercise</w:t>
            </w:r>
            <w:r w:rsidR="128B3045" w:rsidRPr="2566FF1D">
              <w:t xml:space="preserve"> </w:t>
            </w:r>
            <w:r w:rsidRPr="2566FF1D">
              <w:t xml:space="preserve">but seeks to </w:t>
            </w:r>
            <w:r w:rsidR="7CDE254B" w:rsidRPr="2566FF1D">
              <w:t xml:space="preserve">provide an earlier indication of </w:t>
            </w:r>
            <w:r w:rsidR="113B4948" w:rsidRPr="2566FF1D">
              <w:t xml:space="preserve">progress. </w:t>
            </w:r>
          </w:p>
          <w:p w14:paraId="0AAAA891" w14:textId="27C66009" w:rsidR="00B873EB" w:rsidRDefault="00B873EB" w:rsidP="2566FF1D"/>
          <w:p w14:paraId="06A38C88" w14:textId="480AD8E8" w:rsidR="00B873EB" w:rsidRDefault="00B873EB" w:rsidP="2566FF1D">
            <w:pPr>
              <w:jc w:val="center"/>
              <w:rPr>
                <w:color w:val="FF0000"/>
              </w:rPr>
            </w:pPr>
          </w:p>
        </w:tc>
      </w:tr>
      <w:tr w:rsidR="00B873EB" w14:paraId="06A38C8C" w14:textId="77777777" w:rsidTr="2566FF1D">
        <w:trPr>
          <w:trHeight w:val="902"/>
        </w:trPr>
        <w:tc>
          <w:tcPr>
            <w:tcW w:w="3315" w:type="dxa"/>
          </w:tcPr>
          <w:p w14:paraId="06A38C8A" w14:textId="77777777" w:rsidR="00B873EB" w:rsidRPr="00B873EB" w:rsidRDefault="00B873EB" w:rsidP="00B873EB">
            <w:pPr>
              <w:rPr>
                <w:b/>
                <w:color w:val="000000" w:themeColor="text1"/>
                <w:sz w:val="28"/>
                <w:szCs w:val="28"/>
              </w:rPr>
            </w:pPr>
            <w:r w:rsidRPr="00B873EB">
              <w:rPr>
                <w:b/>
                <w:color w:val="000000" w:themeColor="text1"/>
                <w:sz w:val="28"/>
                <w:szCs w:val="28"/>
              </w:rPr>
              <w:t>PURPOSE</w:t>
            </w:r>
          </w:p>
        </w:tc>
        <w:tc>
          <w:tcPr>
            <w:tcW w:w="5581" w:type="dxa"/>
          </w:tcPr>
          <w:p w14:paraId="06A38C8B" w14:textId="43331EB6" w:rsidR="00B873EB" w:rsidRDefault="796EFF35" w:rsidP="2566FF1D">
            <w:r w:rsidRPr="2566FF1D">
              <w:t xml:space="preserve">To highlight the significant financial risks. </w:t>
            </w:r>
          </w:p>
        </w:tc>
      </w:tr>
      <w:tr w:rsidR="00B873EB" w14:paraId="06A38C8F" w14:textId="77777777" w:rsidTr="2566FF1D">
        <w:trPr>
          <w:trHeight w:val="902"/>
        </w:trPr>
        <w:tc>
          <w:tcPr>
            <w:tcW w:w="3315" w:type="dxa"/>
          </w:tcPr>
          <w:p w14:paraId="06A38C8D" w14:textId="77777777" w:rsidR="00B873EB" w:rsidRPr="00B873EB" w:rsidRDefault="00B873EB" w:rsidP="00B873EB">
            <w:pPr>
              <w:rPr>
                <w:b/>
                <w:color w:val="000000" w:themeColor="text1"/>
                <w:sz w:val="28"/>
                <w:szCs w:val="28"/>
              </w:rPr>
            </w:pPr>
            <w:r w:rsidRPr="00B873EB">
              <w:rPr>
                <w:b/>
                <w:color w:val="000000" w:themeColor="text1"/>
                <w:sz w:val="28"/>
                <w:szCs w:val="28"/>
              </w:rPr>
              <w:t>DECISION/ACTION REQUIRED</w:t>
            </w:r>
          </w:p>
        </w:tc>
        <w:tc>
          <w:tcPr>
            <w:tcW w:w="5581" w:type="dxa"/>
          </w:tcPr>
          <w:p w14:paraId="06A38C8E" w14:textId="230988FE" w:rsidR="00B873EB" w:rsidRDefault="71D0A25B" w:rsidP="2566FF1D">
            <w:pPr>
              <w:spacing w:line="259" w:lineRule="auto"/>
            </w:pPr>
            <w:r w:rsidRPr="2566FF1D">
              <w:t xml:space="preserve">For Decision </w:t>
            </w:r>
          </w:p>
        </w:tc>
      </w:tr>
    </w:tbl>
    <w:p w14:paraId="06A38C90" w14:textId="7E348090" w:rsidR="00B873EB" w:rsidRDefault="00B873EB" w:rsidP="00B873EB">
      <w:pPr>
        <w:jc w:val="center"/>
        <w:rPr>
          <w:color w:val="FF0000"/>
        </w:rPr>
      </w:pPr>
    </w:p>
    <w:p w14:paraId="3F3503F5" w14:textId="6FE59A5A" w:rsidR="002F7C43" w:rsidRDefault="002F7C43" w:rsidP="00B873EB">
      <w:pPr>
        <w:jc w:val="center"/>
        <w:rPr>
          <w:color w:val="FF0000"/>
        </w:rPr>
      </w:pPr>
    </w:p>
    <w:p w14:paraId="565F726B" w14:textId="26B5594D" w:rsidR="002F7C43" w:rsidRDefault="002F7C43" w:rsidP="00B873EB">
      <w:pPr>
        <w:jc w:val="center"/>
        <w:rPr>
          <w:color w:val="FF0000"/>
        </w:rPr>
      </w:pPr>
    </w:p>
    <w:p w14:paraId="162F9E11" w14:textId="3BCFA367" w:rsidR="002F7C43" w:rsidRDefault="002F7C43" w:rsidP="00B873EB">
      <w:pPr>
        <w:jc w:val="center"/>
        <w:rPr>
          <w:color w:val="FF0000"/>
        </w:rPr>
      </w:pPr>
    </w:p>
    <w:p w14:paraId="27BC8D39" w14:textId="07827F47" w:rsidR="002F7C43" w:rsidRDefault="002F7C43" w:rsidP="00B873EB">
      <w:pPr>
        <w:jc w:val="center"/>
        <w:rPr>
          <w:color w:val="FF0000"/>
        </w:rPr>
      </w:pPr>
    </w:p>
    <w:p w14:paraId="345989C8" w14:textId="6A077FF7" w:rsidR="002F7C43" w:rsidRDefault="002F7C43" w:rsidP="00B873EB">
      <w:pPr>
        <w:jc w:val="center"/>
        <w:rPr>
          <w:color w:val="FF0000"/>
        </w:rPr>
      </w:pPr>
    </w:p>
    <w:p w14:paraId="03787138" w14:textId="17A408B5" w:rsidR="002F7C43" w:rsidRDefault="002F7C43" w:rsidP="2566FF1D">
      <w:pPr>
        <w:jc w:val="center"/>
        <w:rPr>
          <w:color w:val="FF0000"/>
        </w:rPr>
      </w:pPr>
    </w:p>
    <w:p w14:paraId="0296E58A" w14:textId="401FD0A4" w:rsidR="2566FF1D" w:rsidRDefault="2566FF1D" w:rsidP="2566FF1D">
      <w:pPr>
        <w:rPr>
          <w:color w:val="FF0000"/>
        </w:rPr>
      </w:pPr>
    </w:p>
    <w:p w14:paraId="18AEC9EC" w14:textId="0B54ED7C" w:rsidR="554588BB" w:rsidRDefault="554588BB" w:rsidP="2566FF1D">
      <w:pPr>
        <w:spacing w:after="0"/>
        <w:rPr>
          <w:sz w:val="28"/>
          <w:szCs w:val="28"/>
        </w:rPr>
      </w:pPr>
      <w:r w:rsidRPr="2566FF1D">
        <w:rPr>
          <w:sz w:val="28"/>
          <w:szCs w:val="28"/>
        </w:rPr>
        <w:t>Introduction</w:t>
      </w:r>
    </w:p>
    <w:p w14:paraId="547014F3" w14:textId="06B52039" w:rsidR="554588BB" w:rsidRDefault="554588BB" w:rsidP="2566FF1D">
      <w:pPr>
        <w:spacing w:after="0"/>
      </w:pPr>
      <w:r w:rsidRPr="2566FF1D">
        <w:t xml:space="preserve">As the activities and events of the current financial year unfold, attention </w:t>
      </w:r>
      <w:r w:rsidR="3BF25F36" w:rsidRPr="2566FF1D">
        <w:t>is</w:t>
      </w:r>
      <w:r w:rsidRPr="2566FF1D">
        <w:t xml:space="preserve"> drawn to 4 key financial deliverables </w:t>
      </w:r>
      <w:r w:rsidR="1CFA969A" w:rsidRPr="2566FF1D">
        <w:t>which if successfully delivered the Union will be significant</w:t>
      </w:r>
      <w:r w:rsidR="3DBE259C" w:rsidRPr="2566FF1D">
        <w:t xml:space="preserve">ly </w:t>
      </w:r>
      <w:r w:rsidR="1CFA969A" w:rsidRPr="2566FF1D">
        <w:t>on the way to achieving it</w:t>
      </w:r>
      <w:r w:rsidR="624EAFD7" w:rsidRPr="2566FF1D">
        <w:t xml:space="preserve">s financial objective for 2019/2020. </w:t>
      </w:r>
    </w:p>
    <w:p w14:paraId="2A4BDC6A" w14:textId="7D39950F" w:rsidR="2566FF1D" w:rsidRDefault="2566FF1D" w:rsidP="2566FF1D">
      <w:pPr>
        <w:spacing w:after="0"/>
      </w:pPr>
    </w:p>
    <w:p w14:paraId="307BCC5C" w14:textId="37F5A347" w:rsidR="624EAFD7" w:rsidRDefault="624EAFD7" w:rsidP="2566FF1D">
      <w:pPr>
        <w:spacing w:after="0"/>
      </w:pPr>
      <w:r w:rsidRPr="2566FF1D">
        <w:t xml:space="preserve">These 4 deliverables are part of the business plan and are </w:t>
      </w:r>
      <w:r w:rsidR="6F6216E0" w:rsidRPr="2566FF1D">
        <w:t>encapsulated</w:t>
      </w:r>
      <w:r w:rsidRPr="2566FF1D">
        <w:t xml:space="preserve"> within the objective of achieving budget. </w:t>
      </w:r>
    </w:p>
    <w:p w14:paraId="40872A0C" w14:textId="23C6E4F3" w:rsidR="2566FF1D" w:rsidRDefault="2566FF1D" w:rsidP="2566FF1D">
      <w:pPr>
        <w:spacing w:after="0"/>
      </w:pPr>
    </w:p>
    <w:p w14:paraId="1968E3B3" w14:textId="0430A184" w:rsidR="10574752" w:rsidRDefault="10574752" w:rsidP="2566FF1D">
      <w:pPr>
        <w:spacing w:after="0"/>
      </w:pPr>
      <w:r w:rsidRPr="2566FF1D">
        <w:t xml:space="preserve">This paper is therefore not a commentary on the business plan objectives, but an opportunity to highlight </w:t>
      </w:r>
      <w:r w:rsidR="06E47B26" w:rsidRPr="2566FF1D">
        <w:t xml:space="preserve">the </w:t>
      </w:r>
      <w:r w:rsidRPr="2566FF1D">
        <w:t xml:space="preserve">4 </w:t>
      </w:r>
      <w:r w:rsidR="64580CBA" w:rsidRPr="2566FF1D">
        <w:t xml:space="preserve">significant objectives underpinning the financial performance giving a proactive steer to the Trustees. </w:t>
      </w:r>
    </w:p>
    <w:p w14:paraId="77A78E55" w14:textId="2B223F0D" w:rsidR="2566FF1D" w:rsidRDefault="2566FF1D" w:rsidP="2566FF1D">
      <w:pPr>
        <w:spacing w:after="0"/>
      </w:pPr>
    </w:p>
    <w:p w14:paraId="56CF025A" w14:textId="5C861318" w:rsidR="64580CBA" w:rsidRDefault="64580CBA" w:rsidP="2566FF1D">
      <w:pPr>
        <w:spacing w:after="0"/>
      </w:pPr>
      <w:r w:rsidRPr="2566FF1D">
        <w:t xml:space="preserve">This paper does not </w:t>
      </w:r>
      <w:r w:rsidR="2CFECAE0" w:rsidRPr="2566FF1D">
        <w:t>constitute</w:t>
      </w:r>
      <w:r w:rsidRPr="2566FF1D">
        <w:t xml:space="preserve"> a reforecast exercise as </w:t>
      </w:r>
      <w:r w:rsidR="1DAEB725" w:rsidRPr="2566FF1D">
        <w:t>this will</w:t>
      </w:r>
      <w:r w:rsidRPr="2566FF1D">
        <w:t xml:space="preserve"> be undertaken in January 2020. </w:t>
      </w:r>
    </w:p>
    <w:p w14:paraId="37CB3A5A" w14:textId="4EA027A8" w:rsidR="2566FF1D" w:rsidRDefault="2566FF1D" w:rsidP="2566FF1D">
      <w:pPr>
        <w:spacing w:after="0"/>
      </w:pPr>
    </w:p>
    <w:p w14:paraId="424B2846" w14:textId="593D05C8" w:rsidR="5878F677" w:rsidRDefault="5878F677" w:rsidP="2566FF1D">
      <w:pPr>
        <w:spacing w:after="0"/>
        <w:rPr>
          <w:sz w:val="28"/>
          <w:szCs w:val="28"/>
        </w:rPr>
      </w:pPr>
      <w:r w:rsidRPr="2566FF1D">
        <w:rPr>
          <w:sz w:val="28"/>
          <w:szCs w:val="28"/>
        </w:rPr>
        <w:t>Four Key Deliverables</w:t>
      </w:r>
    </w:p>
    <w:p w14:paraId="0742F9A8" w14:textId="4C981B6C" w:rsidR="5878F677" w:rsidRDefault="5878F677" w:rsidP="2566FF1D">
      <w:pPr>
        <w:spacing w:after="0"/>
      </w:pPr>
      <w:r w:rsidRPr="2566FF1D">
        <w:t>The four key deliverables for the Trustees to track are:</w:t>
      </w:r>
    </w:p>
    <w:p w14:paraId="406977F9" w14:textId="046F13CE" w:rsidR="2566FF1D" w:rsidRDefault="2566FF1D" w:rsidP="2566FF1D">
      <w:pPr>
        <w:spacing w:after="0"/>
      </w:pPr>
    </w:p>
    <w:p w14:paraId="43E5236B" w14:textId="0FC29AF6" w:rsidR="5878F677" w:rsidRDefault="5878F677" w:rsidP="2566FF1D">
      <w:pPr>
        <w:pStyle w:val="ListParagraph"/>
        <w:numPr>
          <w:ilvl w:val="0"/>
          <w:numId w:val="3"/>
        </w:numPr>
        <w:spacing w:after="0"/>
      </w:pPr>
      <w:r w:rsidRPr="2566FF1D">
        <w:t>The gross profit contribution of the Commercial outlets</w:t>
      </w:r>
    </w:p>
    <w:p w14:paraId="1EDBD72E" w14:textId="0953E269" w:rsidR="5878F677" w:rsidRDefault="5878F677" w:rsidP="2566FF1D">
      <w:pPr>
        <w:pStyle w:val="ListParagraph"/>
        <w:numPr>
          <w:ilvl w:val="0"/>
          <w:numId w:val="3"/>
        </w:numPr>
        <w:spacing w:after="0"/>
      </w:pPr>
      <w:r w:rsidRPr="2566FF1D">
        <w:t>The Sales and Sponsorship pipeline and performance</w:t>
      </w:r>
    </w:p>
    <w:p w14:paraId="74511FA6" w14:textId="34C41DCF" w:rsidR="5878F677" w:rsidRDefault="5878F677" w:rsidP="2566FF1D">
      <w:pPr>
        <w:pStyle w:val="ListParagraph"/>
        <w:numPr>
          <w:ilvl w:val="0"/>
          <w:numId w:val="3"/>
        </w:numPr>
        <w:spacing w:after="0"/>
      </w:pPr>
      <w:r w:rsidRPr="2566FF1D">
        <w:t>The new food line in H Bar</w:t>
      </w:r>
    </w:p>
    <w:p w14:paraId="4A55F2DC" w14:textId="5D263FD1" w:rsidR="5878F677" w:rsidRDefault="5878F677" w:rsidP="2566FF1D">
      <w:pPr>
        <w:pStyle w:val="ListParagraph"/>
        <w:numPr>
          <w:ilvl w:val="0"/>
          <w:numId w:val="3"/>
        </w:numPr>
        <w:spacing w:after="0"/>
      </w:pPr>
      <w:r w:rsidRPr="2566FF1D">
        <w:t>Recruitment and Retention</w:t>
      </w:r>
    </w:p>
    <w:p w14:paraId="4E2DF33B" w14:textId="687E4E5B" w:rsidR="2566FF1D" w:rsidRDefault="2566FF1D" w:rsidP="2566FF1D">
      <w:pPr>
        <w:spacing w:after="0"/>
      </w:pPr>
    </w:p>
    <w:p w14:paraId="4246A9A0" w14:textId="7878BFF9" w:rsidR="024A6FB7" w:rsidRDefault="024A6FB7" w:rsidP="2566FF1D">
      <w:pPr>
        <w:spacing w:after="0"/>
      </w:pPr>
      <w:r w:rsidRPr="2566FF1D">
        <w:t>Gross Profit Contribution From Commercial Outlets</w:t>
      </w:r>
    </w:p>
    <w:p w14:paraId="2916BFA3" w14:textId="6E3C2528" w:rsidR="024A6FB7" w:rsidRDefault="024A6FB7" w:rsidP="2566FF1D">
      <w:pPr>
        <w:spacing w:after="0"/>
      </w:pPr>
      <w:r w:rsidRPr="2566FF1D">
        <w:t xml:space="preserve">The table </w:t>
      </w:r>
      <w:r w:rsidR="3CE7A19C" w:rsidRPr="2566FF1D">
        <w:t>below</w:t>
      </w:r>
      <w:r w:rsidRPr="2566FF1D">
        <w:t xml:space="preserve"> </w:t>
      </w:r>
      <w:r w:rsidR="7F537269" w:rsidRPr="2566FF1D">
        <w:t xml:space="preserve">in appendix 1 </w:t>
      </w:r>
      <w:r w:rsidRPr="2566FF1D">
        <w:t>gives a brief summary</w:t>
      </w:r>
      <w:r w:rsidR="404D0E75" w:rsidRPr="2566FF1D">
        <w:t xml:space="preserve">. </w:t>
      </w:r>
    </w:p>
    <w:p w14:paraId="5145B63E" w14:textId="285726AF" w:rsidR="2566FF1D" w:rsidRDefault="2566FF1D" w:rsidP="2566FF1D">
      <w:pPr>
        <w:spacing w:after="0"/>
      </w:pPr>
    </w:p>
    <w:p w14:paraId="0472D13E" w14:textId="1B540146" w:rsidR="2566FF1D" w:rsidRDefault="2566FF1D" w:rsidP="2566FF1D">
      <w:pPr>
        <w:spacing w:after="0"/>
      </w:pPr>
    </w:p>
    <w:p w14:paraId="6B28D8C7" w14:textId="2B8B756E" w:rsidR="404D0E75" w:rsidRDefault="404D0E75" w:rsidP="2566FF1D">
      <w:pPr>
        <w:spacing w:after="0"/>
      </w:pPr>
      <w:r w:rsidRPr="2566FF1D">
        <w:t>Sales and Sponsorship Pipeline</w:t>
      </w:r>
    </w:p>
    <w:p w14:paraId="51460CBC" w14:textId="075E975F"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Sales &amp; Sponsorship has employed a quarterly approach to targets to allow more room to develop a pipeline. We have also prioritised annual relationships that benefit the student experience so there is less pressure on the singular sales person to realise the annual target through the vagaries of day-to-day sales.  </w:t>
      </w:r>
    </w:p>
    <w:p w14:paraId="7E9DAA91" w14:textId="2EE5B2CF" w:rsidR="2566FF1D" w:rsidRDefault="2566FF1D" w:rsidP="2566FF1D">
      <w:pPr>
        <w:spacing w:after="0"/>
        <w:rPr>
          <w:rFonts w:ascii="Calibri" w:eastAsia="Calibri" w:hAnsi="Calibri" w:cs="Calibri"/>
          <w:sz w:val="24"/>
          <w:szCs w:val="24"/>
        </w:rPr>
      </w:pPr>
    </w:p>
    <w:p w14:paraId="603026AC" w14:textId="1AC63751"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With the new untested approach and a full-time person in post for the first time in years at the managerial level, the main priority is testing the market and experimenting with new activities to see what normal levels of activity should be expected for each period.</w:t>
      </w:r>
    </w:p>
    <w:p w14:paraId="0CE3AEAF" w14:textId="1B739F68" w:rsidR="2566FF1D" w:rsidRDefault="2566FF1D" w:rsidP="2566FF1D">
      <w:pPr>
        <w:spacing w:after="0"/>
        <w:rPr>
          <w:rFonts w:ascii="Calibri" w:eastAsia="Calibri" w:hAnsi="Calibri" w:cs="Calibri"/>
          <w:sz w:val="24"/>
          <w:szCs w:val="24"/>
        </w:rPr>
      </w:pPr>
    </w:p>
    <w:p w14:paraId="3226ACC4" w14:textId="31563513"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That means more emphasis on the annual figure, rather than the ebbs and flows of daily sales, whilst also being mindful of our progress. </w:t>
      </w:r>
    </w:p>
    <w:p w14:paraId="6ACA09A0" w14:textId="5E3E6DFD"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 </w:t>
      </w:r>
    </w:p>
    <w:p w14:paraId="55E098AE" w14:textId="2061BCD4"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The target for Q1, ending October, is £78, 550 against an annual budget of £139, 550.</w:t>
      </w:r>
    </w:p>
    <w:p w14:paraId="5FC325B7" w14:textId="3E094016" w:rsidR="2566FF1D" w:rsidRDefault="2566FF1D" w:rsidP="2566FF1D">
      <w:pPr>
        <w:spacing w:after="0"/>
        <w:rPr>
          <w:rFonts w:ascii="Calibri" w:eastAsia="Calibri" w:hAnsi="Calibri" w:cs="Calibri"/>
          <w:sz w:val="24"/>
          <w:szCs w:val="24"/>
        </w:rPr>
      </w:pPr>
    </w:p>
    <w:p w14:paraId="41826BCF" w14:textId="2E0EDAA6"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So far, receipts total </w:t>
      </w:r>
      <w:r w:rsidRPr="2566FF1D">
        <w:rPr>
          <w:rFonts w:ascii="Calibri" w:eastAsia="Calibri" w:hAnsi="Calibri" w:cs="Calibri"/>
          <w:color w:val="201F1E"/>
          <w:sz w:val="24"/>
          <w:szCs w:val="24"/>
        </w:rPr>
        <w:t>£72, 701 with a few weeks remaining this quarter</w:t>
      </w:r>
      <w:r w:rsidRPr="2566FF1D">
        <w:rPr>
          <w:rFonts w:ascii="Arial" w:eastAsia="Arial" w:hAnsi="Arial" w:cs="Arial"/>
          <w:color w:val="201F1E"/>
          <w:sz w:val="24"/>
          <w:szCs w:val="24"/>
        </w:rPr>
        <w:t xml:space="preserve">. </w:t>
      </w:r>
      <w:r w:rsidRPr="2566FF1D">
        <w:rPr>
          <w:rFonts w:ascii="Calibri" w:eastAsia="Calibri" w:hAnsi="Calibri" w:cs="Calibri"/>
          <w:sz w:val="24"/>
          <w:szCs w:val="24"/>
        </w:rPr>
        <w:t>This figure represents four exclusive long-term relationships and a combination of Fair receipts from 62 stalls, along with</w:t>
      </w:r>
      <w:r w:rsidRPr="2566FF1D">
        <w:rPr>
          <w:rFonts w:ascii="Times New Roman" w:eastAsia="Times New Roman" w:hAnsi="Times New Roman" w:cs="Times New Roman"/>
          <w:sz w:val="24"/>
          <w:szCs w:val="24"/>
        </w:rPr>
        <w:t xml:space="preserve"> </w:t>
      </w:r>
      <w:r w:rsidRPr="2566FF1D">
        <w:rPr>
          <w:rFonts w:ascii="Calibri" w:eastAsia="Calibri" w:hAnsi="Calibri" w:cs="Calibri"/>
          <w:sz w:val="24"/>
          <w:szCs w:val="24"/>
        </w:rPr>
        <w:t>ad hoc sales.</w:t>
      </w:r>
    </w:p>
    <w:p w14:paraId="127AB547" w14:textId="7513F7AE" w:rsidR="2566FF1D" w:rsidRDefault="2566FF1D" w:rsidP="2566FF1D">
      <w:pPr>
        <w:spacing w:after="0"/>
        <w:rPr>
          <w:rFonts w:ascii="Times New Roman" w:eastAsia="Times New Roman" w:hAnsi="Times New Roman" w:cs="Times New Roman"/>
          <w:sz w:val="24"/>
          <w:szCs w:val="24"/>
        </w:rPr>
      </w:pPr>
    </w:p>
    <w:p w14:paraId="3D7862C4" w14:textId="13D98143"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This is a positive start to the year with great feedback from partners during the period, which bodes well for future activities. There are plans to raise the fees in 20/21 in keeping with the size of the fair as well as the London market.</w:t>
      </w:r>
    </w:p>
    <w:p w14:paraId="6F5AE0F1" w14:textId="1646AF2F" w:rsidR="2566FF1D" w:rsidRDefault="2566FF1D" w:rsidP="2566FF1D">
      <w:pPr>
        <w:spacing w:after="0"/>
        <w:rPr>
          <w:rFonts w:ascii="Times New Roman" w:eastAsia="Times New Roman" w:hAnsi="Times New Roman" w:cs="Times New Roman"/>
          <w:sz w:val="24"/>
          <w:szCs w:val="24"/>
        </w:rPr>
      </w:pPr>
    </w:p>
    <w:p w14:paraId="12A7F638" w14:textId="13038769"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For the rest of the year, we will prioritise large scale activity with a “Refresher’s Fair” being planned for February to capitalise on the success of fair (projected £15, 300), as well as new activity such as advertising screens in bars and an accommodation email.</w:t>
      </w:r>
    </w:p>
    <w:p w14:paraId="13DE6F40" w14:textId="7EAA392A" w:rsidR="2566FF1D" w:rsidRDefault="2566FF1D" w:rsidP="2566FF1D">
      <w:pPr>
        <w:spacing w:after="0"/>
        <w:rPr>
          <w:rFonts w:ascii="Times New Roman" w:eastAsia="Times New Roman" w:hAnsi="Times New Roman" w:cs="Times New Roman"/>
          <w:sz w:val="24"/>
          <w:szCs w:val="24"/>
        </w:rPr>
      </w:pPr>
    </w:p>
    <w:p w14:paraId="047CB390" w14:textId="35319B46"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We have also negotiated a long term relationship with a new transportation provider who was recently licenced in the London market valued at 15K. That should be realised if the launch date goes ahead as planned in November. </w:t>
      </w:r>
    </w:p>
    <w:p w14:paraId="21B0ED6D" w14:textId="12FDA893" w:rsidR="2566FF1D" w:rsidRDefault="2566FF1D" w:rsidP="2566FF1D">
      <w:pPr>
        <w:spacing w:after="0"/>
        <w:rPr>
          <w:rFonts w:ascii="Times New Roman" w:eastAsia="Times New Roman" w:hAnsi="Times New Roman" w:cs="Times New Roman"/>
          <w:sz w:val="24"/>
          <w:szCs w:val="24"/>
        </w:rPr>
      </w:pPr>
    </w:p>
    <w:p w14:paraId="6F192A96" w14:textId="477CCBA8"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 xml:space="preserve">We continue to see new sources of revenue in keeping with our objectives to maximise the use of spaces and channels. </w:t>
      </w:r>
    </w:p>
    <w:p w14:paraId="0899743C" w14:textId="55BFA0F7" w:rsidR="2566FF1D" w:rsidRDefault="2566FF1D" w:rsidP="2566FF1D">
      <w:pPr>
        <w:spacing w:after="0"/>
        <w:rPr>
          <w:rFonts w:ascii="Times New Roman" w:eastAsia="Times New Roman" w:hAnsi="Times New Roman" w:cs="Times New Roman"/>
          <w:sz w:val="24"/>
          <w:szCs w:val="24"/>
        </w:rPr>
      </w:pPr>
    </w:p>
    <w:p w14:paraId="64C92962" w14:textId="01A68B7C"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We also continue to prioritise longer term relationships in keeping with our objective of having sustainable income streams.</w:t>
      </w:r>
    </w:p>
    <w:p w14:paraId="6BB29C62" w14:textId="37A9D8E6" w:rsidR="2566FF1D" w:rsidRDefault="2566FF1D" w:rsidP="2566FF1D">
      <w:pPr>
        <w:spacing w:after="0"/>
        <w:rPr>
          <w:rFonts w:ascii="Times New Roman" w:eastAsia="Times New Roman" w:hAnsi="Times New Roman" w:cs="Times New Roman"/>
          <w:sz w:val="24"/>
          <w:szCs w:val="24"/>
        </w:rPr>
      </w:pPr>
    </w:p>
    <w:p w14:paraId="0B064AF2" w14:textId="65D249FB" w:rsidR="5E6C9C2E" w:rsidRDefault="5E6C9C2E" w:rsidP="2566FF1D">
      <w:pPr>
        <w:spacing w:after="0"/>
        <w:rPr>
          <w:rFonts w:ascii="Calibri" w:eastAsia="Calibri" w:hAnsi="Calibri" w:cs="Calibri"/>
          <w:sz w:val="24"/>
          <w:szCs w:val="24"/>
        </w:rPr>
      </w:pPr>
      <w:r w:rsidRPr="2566FF1D">
        <w:rPr>
          <w:rFonts w:ascii="Calibri" w:eastAsia="Calibri" w:hAnsi="Calibri" w:cs="Calibri"/>
          <w:sz w:val="24"/>
          <w:szCs w:val="24"/>
        </w:rPr>
        <w:t>We will continue to closely watch inflows and grow our pipeline.</w:t>
      </w:r>
    </w:p>
    <w:p w14:paraId="4508BC4A" w14:textId="31A5FF39" w:rsidR="2566FF1D" w:rsidRDefault="2566FF1D" w:rsidP="2566FF1D">
      <w:pPr>
        <w:spacing w:after="0"/>
      </w:pPr>
    </w:p>
    <w:p w14:paraId="7B6903A0" w14:textId="23E226AF" w:rsidR="2566FF1D" w:rsidRDefault="2566FF1D" w:rsidP="2566FF1D">
      <w:pPr>
        <w:spacing w:after="0"/>
      </w:pPr>
    </w:p>
    <w:p w14:paraId="4877D58C" w14:textId="34C41DCF" w:rsidR="047E8B39" w:rsidRDefault="047E8B39" w:rsidP="2566FF1D">
      <w:pPr>
        <w:spacing w:after="0"/>
      </w:pPr>
      <w:r w:rsidRPr="2566FF1D">
        <w:t>The new food line in H Bar</w:t>
      </w:r>
    </w:p>
    <w:p w14:paraId="7C8E5439" w14:textId="7870CFC3" w:rsidR="74ECA571" w:rsidRDefault="74ECA571" w:rsidP="2566FF1D">
      <w:pPr>
        <w:spacing w:after="0"/>
      </w:pPr>
      <w:r w:rsidRPr="2566FF1D">
        <w:t>Due to staffing pressures and resource alloca</w:t>
      </w:r>
      <w:r w:rsidR="74C2B86D" w:rsidRPr="2566FF1D">
        <w:t>ti</w:t>
      </w:r>
      <w:r w:rsidRPr="2566FF1D">
        <w:t xml:space="preserve">on the new food service in H Bar has not been </w:t>
      </w:r>
      <w:r w:rsidR="45683BCD" w:rsidRPr="2566FF1D">
        <w:t>launched</w:t>
      </w:r>
      <w:r w:rsidR="7E1E0339" w:rsidRPr="2566FF1D">
        <w:t xml:space="preserve">. </w:t>
      </w:r>
      <w:r w:rsidR="4C5C8D05" w:rsidRPr="2566FF1D">
        <w:t>It is highly unlikely that services will be started during 1</w:t>
      </w:r>
      <w:r w:rsidR="4C5C8D05" w:rsidRPr="2566FF1D">
        <w:rPr>
          <w:vertAlign w:val="superscript"/>
        </w:rPr>
        <w:t>st</w:t>
      </w:r>
      <w:r w:rsidR="4C5C8D05" w:rsidRPr="2566FF1D">
        <w:t xml:space="preserve"> term leading to a potential loss of contribution</w:t>
      </w:r>
      <w:r w:rsidR="25C99600" w:rsidRPr="2566FF1D">
        <w:t xml:space="preserve"> in the region of £31k. This could increase as wet sales will be impacted.</w:t>
      </w:r>
    </w:p>
    <w:p w14:paraId="798608B1" w14:textId="4C39AFEB" w:rsidR="2566FF1D" w:rsidRDefault="2566FF1D" w:rsidP="2566FF1D">
      <w:pPr>
        <w:spacing w:after="0"/>
      </w:pPr>
    </w:p>
    <w:p w14:paraId="258AE2F1" w14:textId="6106CA95" w:rsidR="2566FF1D" w:rsidRDefault="2566FF1D" w:rsidP="2566FF1D">
      <w:pPr>
        <w:spacing w:after="0"/>
      </w:pPr>
    </w:p>
    <w:p w14:paraId="7D92D101" w14:textId="5D263FD1" w:rsidR="48A5F6D0" w:rsidRDefault="48A5F6D0" w:rsidP="2566FF1D">
      <w:pPr>
        <w:spacing w:after="0"/>
      </w:pPr>
      <w:r w:rsidRPr="2566FF1D">
        <w:t>Recruitment and Retention</w:t>
      </w:r>
    </w:p>
    <w:p w14:paraId="19E8610D" w14:textId="40F362BC" w:rsidR="39F0505C" w:rsidRDefault="39F0505C" w:rsidP="2566FF1D">
      <w:pPr>
        <w:spacing w:after="0"/>
      </w:pPr>
      <w:r w:rsidRPr="2566FF1D">
        <w:t xml:space="preserve">At present </w:t>
      </w:r>
      <w:r w:rsidR="05D1D30B" w:rsidRPr="2566FF1D">
        <w:t xml:space="preserve">(Monday 14 October) </w:t>
      </w:r>
      <w:r w:rsidRPr="2566FF1D">
        <w:t xml:space="preserve">we have the following list of staff vacant posts </w:t>
      </w:r>
      <w:r w:rsidR="1770211A" w:rsidRPr="2566FF1D">
        <w:t xml:space="preserve">some of which are </w:t>
      </w:r>
      <w:r w:rsidRPr="2566FF1D">
        <w:t xml:space="preserve"> being covered with temporary resource</w:t>
      </w:r>
      <w:r w:rsidR="1A7F009C" w:rsidRPr="2566FF1D">
        <w:t xml:space="preserve">: </w:t>
      </w:r>
    </w:p>
    <w:p w14:paraId="3F4F71B6" w14:textId="5A0813CE" w:rsidR="2566FF1D" w:rsidRDefault="2566FF1D" w:rsidP="2566FF1D">
      <w:pPr>
        <w:spacing w:after="0"/>
      </w:pPr>
    </w:p>
    <w:p w14:paraId="29DB28C5" w14:textId="397BBCD4" w:rsidR="241927A6" w:rsidRDefault="241927A6" w:rsidP="7D198C8A">
      <w:pPr>
        <w:pStyle w:val="ListParagraph"/>
        <w:numPr>
          <w:ilvl w:val="0"/>
          <w:numId w:val="1"/>
        </w:numPr>
        <w:spacing w:after="0"/>
      </w:pPr>
      <w:r w:rsidRPr="7D198C8A">
        <w:t>Union Receptionist - Due to go out to advert wk commencing 14th October</w:t>
      </w:r>
    </w:p>
    <w:p w14:paraId="5D00E63A" w14:textId="4CD7B848" w:rsidR="241927A6" w:rsidRDefault="241927A6" w:rsidP="7D198C8A">
      <w:pPr>
        <w:pStyle w:val="ListParagraph"/>
        <w:numPr>
          <w:ilvl w:val="0"/>
          <w:numId w:val="1"/>
        </w:numPr>
        <w:spacing w:after="0"/>
      </w:pPr>
      <w:r w:rsidRPr="7D198C8A">
        <w:t>Student Development Coordinator - Filled (Joanna Page - start date 18/10/19)</w:t>
      </w:r>
    </w:p>
    <w:p w14:paraId="0B47BA51" w14:textId="03D73CD2" w:rsidR="241927A6" w:rsidRDefault="241927A6" w:rsidP="7D198C8A">
      <w:pPr>
        <w:pStyle w:val="ListParagraph"/>
        <w:numPr>
          <w:ilvl w:val="0"/>
          <w:numId w:val="1"/>
        </w:numPr>
        <w:spacing w:after="0"/>
      </w:pPr>
      <w:r w:rsidRPr="7D198C8A">
        <w:t xml:space="preserve">Student Activities Coordinator (Operations &amp; Resources) - Due to go out to advert wk commencing 14th October </w:t>
      </w:r>
    </w:p>
    <w:p w14:paraId="05BF571B" w14:textId="0FA3B4F2" w:rsidR="241927A6" w:rsidRDefault="241927A6" w:rsidP="7D198C8A">
      <w:pPr>
        <w:pStyle w:val="ListParagraph"/>
        <w:numPr>
          <w:ilvl w:val="0"/>
          <w:numId w:val="1"/>
        </w:numPr>
        <w:spacing w:after="0"/>
      </w:pPr>
      <w:r w:rsidRPr="7D198C8A">
        <w:t>Student Activities Coordinator (Governance &amp; Framework) - Due to go out to advert wk commencing 14th October</w:t>
      </w:r>
    </w:p>
    <w:p w14:paraId="15B2E0A8" w14:textId="77F9BD98" w:rsidR="241927A6" w:rsidRDefault="241927A6" w:rsidP="7D198C8A">
      <w:pPr>
        <w:pStyle w:val="ListParagraph"/>
        <w:numPr>
          <w:ilvl w:val="0"/>
          <w:numId w:val="1"/>
        </w:numPr>
        <w:spacing w:after="0"/>
      </w:pPr>
      <w:r w:rsidRPr="7D198C8A">
        <w:t>Student Activities Coordinator (Development &amp; Events) - Due to go out to advert wk commencing 14th October</w:t>
      </w:r>
    </w:p>
    <w:p w14:paraId="613E8438" w14:textId="43D62209" w:rsidR="241927A6" w:rsidRDefault="241927A6" w:rsidP="7D198C8A">
      <w:pPr>
        <w:pStyle w:val="ListParagraph"/>
        <w:numPr>
          <w:ilvl w:val="0"/>
          <w:numId w:val="1"/>
        </w:numPr>
        <w:spacing w:after="0"/>
      </w:pPr>
      <w:r w:rsidRPr="7D198C8A">
        <w:t>Training &amp; Development Manager - Open Vacancy (STC cover)</w:t>
      </w:r>
      <w:r>
        <w:br/>
      </w:r>
      <w:r w:rsidRPr="7D198C8A">
        <w:t xml:space="preserve"> Representation Manager - Open Vacancy (STC cover)</w:t>
      </w:r>
    </w:p>
    <w:p w14:paraId="6E8675B9" w14:textId="05AFAEEA" w:rsidR="241927A6" w:rsidRDefault="241927A6" w:rsidP="7D198C8A">
      <w:pPr>
        <w:pStyle w:val="ListParagraph"/>
        <w:numPr>
          <w:ilvl w:val="0"/>
          <w:numId w:val="1"/>
        </w:numPr>
        <w:spacing w:after="0"/>
      </w:pPr>
      <w:r w:rsidRPr="7D198C8A">
        <w:t xml:space="preserve">Representation Coordinator (Wellbeing) - Currently recruiting </w:t>
      </w:r>
    </w:p>
    <w:p w14:paraId="63DFA1AA" w14:textId="47AF0774" w:rsidR="241927A6" w:rsidRDefault="241927A6" w:rsidP="7D198C8A">
      <w:pPr>
        <w:pStyle w:val="ListParagraph"/>
        <w:numPr>
          <w:ilvl w:val="0"/>
          <w:numId w:val="1"/>
        </w:numPr>
        <w:spacing w:after="0"/>
      </w:pPr>
      <w:r w:rsidRPr="7D198C8A">
        <w:t>Advice Centre Manager - Open Vacancy</w:t>
      </w:r>
    </w:p>
    <w:p w14:paraId="3FCCABAD" w14:textId="099B8B4D" w:rsidR="241927A6" w:rsidRDefault="241927A6" w:rsidP="7D198C8A">
      <w:pPr>
        <w:pStyle w:val="ListParagraph"/>
        <w:numPr>
          <w:ilvl w:val="0"/>
          <w:numId w:val="1"/>
        </w:numPr>
        <w:spacing w:after="0"/>
      </w:pPr>
      <w:r w:rsidRPr="7D198C8A">
        <w:t>Governance Officer - Currently recruiting</w:t>
      </w:r>
    </w:p>
    <w:p w14:paraId="79940E44" w14:textId="5A78A746" w:rsidR="241927A6" w:rsidRDefault="241927A6" w:rsidP="7D198C8A">
      <w:pPr>
        <w:pStyle w:val="ListParagraph"/>
        <w:numPr>
          <w:ilvl w:val="0"/>
          <w:numId w:val="1"/>
        </w:numPr>
        <w:spacing w:after="0"/>
      </w:pPr>
      <w:r w:rsidRPr="7D198C8A">
        <w:t>Systems Manager - Currently recruiting</w:t>
      </w:r>
    </w:p>
    <w:p w14:paraId="37DA6607" w14:textId="19296DB6" w:rsidR="241927A6" w:rsidRDefault="241927A6" w:rsidP="7D198C8A">
      <w:pPr>
        <w:pStyle w:val="ListParagraph"/>
        <w:numPr>
          <w:ilvl w:val="0"/>
          <w:numId w:val="1"/>
        </w:numPr>
        <w:spacing w:after="0"/>
      </w:pPr>
      <w:r w:rsidRPr="7D198C8A">
        <w:lastRenderedPageBreak/>
        <w:t>Events and Conferences Manager - Currently recruiting</w:t>
      </w:r>
    </w:p>
    <w:p w14:paraId="2D823C3A" w14:textId="3E031035" w:rsidR="241927A6" w:rsidRDefault="241927A6" w:rsidP="7D198C8A">
      <w:pPr>
        <w:pStyle w:val="ListParagraph"/>
        <w:numPr>
          <w:ilvl w:val="0"/>
          <w:numId w:val="1"/>
        </w:numPr>
        <w:spacing w:after="0"/>
      </w:pPr>
      <w:r w:rsidRPr="7D198C8A">
        <w:t>Deputy Venues Manager - Currently with Recruitment Agency (Berkeley Scott)</w:t>
      </w:r>
    </w:p>
    <w:p w14:paraId="67EC6075" w14:textId="3D10C693" w:rsidR="241927A6" w:rsidRDefault="241927A6" w:rsidP="7D198C8A">
      <w:pPr>
        <w:pStyle w:val="ListParagraph"/>
        <w:numPr>
          <w:ilvl w:val="0"/>
          <w:numId w:val="1"/>
        </w:numPr>
        <w:spacing w:after="0"/>
      </w:pPr>
      <w:r w:rsidRPr="7D198C8A">
        <w:t>Operations Manager - Filled  via Recruitment Agency (Kay Counter - start date 04/11/19)</w:t>
      </w:r>
    </w:p>
    <w:p w14:paraId="4DE5D2E6" w14:textId="5BCF7056" w:rsidR="241927A6" w:rsidRDefault="241927A6" w:rsidP="7D198C8A">
      <w:pPr>
        <w:pStyle w:val="ListParagraph"/>
        <w:numPr>
          <w:ilvl w:val="0"/>
          <w:numId w:val="1"/>
        </w:numPr>
        <w:spacing w:after="0"/>
      </w:pPr>
      <w:r w:rsidRPr="7D198C8A">
        <w:t>Retail Assistant (Paternity Cover) - started on 14/10/19 awai</w:t>
      </w:r>
      <w:r w:rsidR="7116189E" w:rsidRPr="7D198C8A">
        <w:t>ti</w:t>
      </w:r>
      <w:r w:rsidRPr="7D198C8A">
        <w:t>ng references &amp; contract</w:t>
      </w:r>
    </w:p>
    <w:p w14:paraId="5F5F9E3D" w14:textId="2290869A" w:rsidR="7D198C8A" w:rsidRDefault="7D198C8A" w:rsidP="7D198C8A">
      <w:pPr>
        <w:spacing w:after="0"/>
      </w:pPr>
    </w:p>
    <w:p w14:paraId="0D63018F" w14:textId="60A6BA4C" w:rsidR="2566FF1D" w:rsidRDefault="2566FF1D" w:rsidP="2566FF1D">
      <w:pPr>
        <w:spacing w:after="0"/>
      </w:pPr>
    </w:p>
    <w:p w14:paraId="27F616EE" w14:textId="38CF4BF1" w:rsidR="2566FF1D" w:rsidRDefault="2566FF1D" w:rsidP="2566FF1D">
      <w:pPr>
        <w:spacing w:after="0"/>
      </w:pPr>
    </w:p>
    <w:p w14:paraId="5AE23AAB" w14:textId="23079658" w:rsidR="2566FF1D" w:rsidRDefault="2566FF1D" w:rsidP="2566FF1D">
      <w:pPr>
        <w:spacing w:after="0"/>
      </w:pPr>
    </w:p>
    <w:p w14:paraId="751820B0" w14:textId="27286208" w:rsidR="2566FF1D" w:rsidRDefault="2566FF1D">
      <w:r>
        <w:br w:type="page"/>
      </w:r>
    </w:p>
    <w:p w14:paraId="0508A2CE" w14:textId="7504312E" w:rsidR="76B3DBF3" w:rsidRDefault="76B3DBF3" w:rsidP="2566FF1D">
      <w:pPr>
        <w:rPr>
          <w:sz w:val="28"/>
          <w:szCs w:val="28"/>
        </w:rPr>
      </w:pPr>
      <w:r w:rsidRPr="2566FF1D">
        <w:rPr>
          <w:sz w:val="28"/>
          <w:szCs w:val="28"/>
        </w:rPr>
        <w:lastRenderedPageBreak/>
        <w:t xml:space="preserve">Appendix 1 </w:t>
      </w:r>
    </w:p>
    <w:tbl>
      <w:tblPr>
        <w:tblStyle w:val="TableGrid"/>
        <w:tblW w:w="0" w:type="auto"/>
        <w:tblLayout w:type="fixed"/>
        <w:tblLook w:val="06A0" w:firstRow="1" w:lastRow="0" w:firstColumn="1" w:lastColumn="0" w:noHBand="1" w:noVBand="1"/>
      </w:tblPr>
      <w:tblGrid>
        <w:gridCol w:w="1128"/>
        <w:gridCol w:w="870"/>
        <w:gridCol w:w="1113"/>
        <w:gridCol w:w="915"/>
        <w:gridCol w:w="975"/>
        <w:gridCol w:w="900"/>
        <w:gridCol w:w="1725"/>
        <w:gridCol w:w="1935"/>
      </w:tblGrid>
      <w:tr w:rsidR="2566FF1D" w14:paraId="3FADFB5B" w14:textId="77777777" w:rsidTr="2566FF1D">
        <w:tc>
          <w:tcPr>
            <w:tcW w:w="9561" w:type="dxa"/>
            <w:gridSpan w:val="8"/>
            <w:shd w:val="clear" w:color="auto" w:fill="FFFF00"/>
          </w:tcPr>
          <w:p w14:paraId="6F45EC7A" w14:textId="2A59C9E0" w:rsidR="2566FF1D" w:rsidRDefault="2566FF1D" w:rsidP="2566FF1D">
            <w:pPr>
              <w:rPr>
                <w:sz w:val="24"/>
                <w:szCs w:val="24"/>
              </w:rPr>
            </w:pPr>
            <w:r w:rsidRPr="2566FF1D">
              <w:rPr>
                <w:sz w:val="24"/>
                <w:szCs w:val="24"/>
              </w:rPr>
              <w:t>Overview of Commercial Gross Profit</w:t>
            </w:r>
          </w:p>
          <w:p w14:paraId="4AB2FDD7" w14:textId="542E9B20" w:rsidR="2566FF1D" w:rsidRDefault="2566FF1D" w:rsidP="2566FF1D"/>
        </w:tc>
      </w:tr>
      <w:tr w:rsidR="2566FF1D" w14:paraId="519EE412" w14:textId="77777777" w:rsidTr="2566FF1D">
        <w:tc>
          <w:tcPr>
            <w:tcW w:w="9561" w:type="dxa"/>
            <w:gridSpan w:val="8"/>
          </w:tcPr>
          <w:p w14:paraId="559A0186" w14:textId="4DF8CA9E" w:rsidR="2566FF1D" w:rsidRDefault="2566FF1D">
            <w:r>
              <w:t xml:space="preserve">September 2019 (Year to Date) </w:t>
            </w:r>
          </w:p>
        </w:tc>
      </w:tr>
      <w:tr w:rsidR="2566FF1D" w14:paraId="1B730D3C" w14:textId="77777777" w:rsidTr="2566FF1D">
        <w:tc>
          <w:tcPr>
            <w:tcW w:w="1128" w:type="dxa"/>
          </w:tcPr>
          <w:p w14:paraId="5D1AA615" w14:textId="4726CAC1" w:rsidR="2566FF1D" w:rsidRDefault="2566FF1D"/>
        </w:tc>
        <w:tc>
          <w:tcPr>
            <w:tcW w:w="870" w:type="dxa"/>
          </w:tcPr>
          <w:p w14:paraId="6A89A3B8" w14:textId="568B2963" w:rsidR="2566FF1D" w:rsidRDefault="2566FF1D">
            <w:r>
              <w:t xml:space="preserve">Actual </w:t>
            </w:r>
          </w:p>
        </w:tc>
        <w:tc>
          <w:tcPr>
            <w:tcW w:w="1113" w:type="dxa"/>
          </w:tcPr>
          <w:p w14:paraId="4C1D4CAB" w14:textId="4545B28F" w:rsidR="2566FF1D" w:rsidRDefault="2566FF1D">
            <w:r>
              <w:t>Budget</w:t>
            </w:r>
          </w:p>
        </w:tc>
        <w:tc>
          <w:tcPr>
            <w:tcW w:w="915" w:type="dxa"/>
          </w:tcPr>
          <w:p w14:paraId="621D56C8" w14:textId="5B72D241" w:rsidR="2566FF1D" w:rsidRDefault="2566FF1D">
            <w:r>
              <w:t>Last Year</w:t>
            </w:r>
          </w:p>
        </w:tc>
        <w:tc>
          <w:tcPr>
            <w:tcW w:w="975" w:type="dxa"/>
          </w:tcPr>
          <w:p w14:paraId="26858C4A" w14:textId="4AF3854B" w:rsidR="2566FF1D" w:rsidRDefault="2566FF1D">
            <w:r>
              <w:t>Var</w:t>
            </w:r>
          </w:p>
        </w:tc>
        <w:tc>
          <w:tcPr>
            <w:tcW w:w="900" w:type="dxa"/>
          </w:tcPr>
          <w:p w14:paraId="2EA1B1FE" w14:textId="3AE4A44D" w:rsidR="2566FF1D" w:rsidRDefault="2566FF1D">
            <w:r>
              <w:t>% Var</w:t>
            </w:r>
          </w:p>
        </w:tc>
        <w:tc>
          <w:tcPr>
            <w:tcW w:w="1725" w:type="dxa"/>
          </w:tcPr>
          <w:p w14:paraId="498A0458" w14:textId="61314BB6" w:rsidR="2566FF1D" w:rsidRDefault="2566FF1D">
            <w:r>
              <w:t>Comment</w:t>
            </w:r>
          </w:p>
        </w:tc>
        <w:tc>
          <w:tcPr>
            <w:tcW w:w="1935" w:type="dxa"/>
          </w:tcPr>
          <w:p w14:paraId="7074DCA0" w14:textId="0D495274" w:rsidR="2566FF1D" w:rsidRDefault="2566FF1D">
            <w:r>
              <w:t>Risk / Opportunities</w:t>
            </w:r>
          </w:p>
        </w:tc>
      </w:tr>
      <w:tr w:rsidR="2566FF1D" w14:paraId="00BB8E80" w14:textId="77777777" w:rsidTr="2566FF1D">
        <w:tc>
          <w:tcPr>
            <w:tcW w:w="1128" w:type="dxa"/>
          </w:tcPr>
          <w:p w14:paraId="2AFFDA28" w14:textId="52E54264" w:rsidR="2566FF1D" w:rsidRDefault="2566FF1D"/>
        </w:tc>
        <w:tc>
          <w:tcPr>
            <w:tcW w:w="870" w:type="dxa"/>
          </w:tcPr>
          <w:p w14:paraId="47641C97" w14:textId="57C452FE" w:rsidR="2566FF1D" w:rsidRDefault="2566FF1D" w:rsidP="2566FF1D">
            <w:pPr>
              <w:jc w:val="center"/>
            </w:pPr>
            <w:r>
              <w:t>£</w:t>
            </w:r>
          </w:p>
        </w:tc>
        <w:tc>
          <w:tcPr>
            <w:tcW w:w="1113" w:type="dxa"/>
          </w:tcPr>
          <w:p w14:paraId="1C06179E" w14:textId="740D2ACF" w:rsidR="2566FF1D" w:rsidRDefault="2566FF1D" w:rsidP="2566FF1D">
            <w:pPr>
              <w:jc w:val="center"/>
            </w:pPr>
            <w:r>
              <w:t>£</w:t>
            </w:r>
          </w:p>
        </w:tc>
        <w:tc>
          <w:tcPr>
            <w:tcW w:w="915" w:type="dxa"/>
          </w:tcPr>
          <w:p w14:paraId="4F875654" w14:textId="1CF9B8CC" w:rsidR="2566FF1D" w:rsidRDefault="2566FF1D" w:rsidP="2566FF1D">
            <w:pPr>
              <w:jc w:val="center"/>
            </w:pPr>
            <w:r>
              <w:t>£</w:t>
            </w:r>
          </w:p>
        </w:tc>
        <w:tc>
          <w:tcPr>
            <w:tcW w:w="975" w:type="dxa"/>
          </w:tcPr>
          <w:p w14:paraId="38A9935A" w14:textId="4AA0141A" w:rsidR="2566FF1D" w:rsidRDefault="2566FF1D" w:rsidP="2566FF1D">
            <w:pPr>
              <w:jc w:val="center"/>
            </w:pPr>
            <w:r>
              <w:t>£</w:t>
            </w:r>
          </w:p>
        </w:tc>
        <w:tc>
          <w:tcPr>
            <w:tcW w:w="900" w:type="dxa"/>
          </w:tcPr>
          <w:p w14:paraId="66D99EF2" w14:textId="4BFC473C" w:rsidR="2566FF1D" w:rsidRDefault="2566FF1D" w:rsidP="2566FF1D">
            <w:pPr>
              <w:jc w:val="center"/>
            </w:pPr>
            <w:r>
              <w:t>%</w:t>
            </w:r>
          </w:p>
        </w:tc>
        <w:tc>
          <w:tcPr>
            <w:tcW w:w="1725" w:type="dxa"/>
          </w:tcPr>
          <w:p w14:paraId="56374B02" w14:textId="2AD8375C" w:rsidR="2566FF1D" w:rsidRDefault="2566FF1D" w:rsidP="2566FF1D">
            <w:pPr>
              <w:jc w:val="center"/>
            </w:pPr>
          </w:p>
        </w:tc>
        <w:tc>
          <w:tcPr>
            <w:tcW w:w="1935" w:type="dxa"/>
          </w:tcPr>
          <w:p w14:paraId="5B06DF78" w14:textId="153BCCF5" w:rsidR="2566FF1D" w:rsidRDefault="2566FF1D"/>
        </w:tc>
      </w:tr>
      <w:tr w:rsidR="2566FF1D" w14:paraId="42207DC3" w14:textId="77777777" w:rsidTr="2566FF1D">
        <w:tc>
          <w:tcPr>
            <w:tcW w:w="9561" w:type="dxa"/>
            <w:gridSpan w:val="8"/>
            <w:shd w:val="clear" w:color="auto" w:fill="FF0000"/>
          </w:tcPr>
          <w:p w14:paraId="3168398C" w14:textId="3FEC9E1A" w:rsidR="2566FF1D" w:rsidRDefault="2566FF1D">
            <w:r>
              <w:t>568 &amp; Union Bar</w:t>
            </w:r>
          </w:p>
        </w:tc>
      </w:tr>
      <w:tr w:rsidR="2566FF1D" w14:paraId="7DBB410E" w14:textId="77777777" w:rsidTr="2566FF1D">
        <w:tc>
          <w:tcPr>
            <w:tcW w:w="1128" w:type="dxa"/>
          </w:tcPr>
          <w:p w14:paraId="0B14F112" w14:textId="3CA1A568" w:rsidR="2566FF1D" w:rsidRDefault="2566FF1D">
            <w:r>
              <w:t>Wet</w:t>
            </w:r>
          </w:p>
        </w:tc>
        <w:tc>
          <w:tcPr>
            <w:tcW w:w="870" w:type="dxa"/>
          </w:tcPr>
          <w:p w14:paraId="729E379B" w14:textId="3F09FC35" w:rsidR="2566FF1D" w:rsidRDefault="2566FF1D">
            <w:r>
              <w:t>140</w:t>
            </w:r>
          </w:p>
        </w:tc>
        <w:tc>
          <w:tcPr>
            <w:tcW w:w="1113" w:type="dxa"/>
          </w:tcPr>
          <w:p w14:paraId="4BD49548" w14:textId="5456D0D8" w:rsidR="2566FF1D" w:rsidRDefault="2566FF1D">
            <w:r>
              <w:t>109</w:t>
            </w:r>
          </w:p>
        </w:tc>
        <w:tc>
          <w:tcPr>
            <w:tcW w:w="915" w:type="dxa"/>
          </w:tcPr>
          <w:p w14:paraId="7A34C932" w14:textId="66524E26" w:rsidR="2566FF1D" w:rsidRDefault="2566FF1D">
            <w:r>
              <w:t>127</w:t>
            </w:r>
          </w:p>
        </w:tc>
        <w:tc>
          <w:tcPr>
            <w:tcW w:w="975" w:type="dxa"/>
          </w:tcPr>
          <w:p w14:paraId="15FAB6D1" w14:textId="5C12A941" w:rsidR="2566FF1D" w:rsidRDefault="2566FF1D">
            <w:r>
              <w:t>31</w:t>
            </w:r>
          </w:p>
        </w:tc>
        <w:tc>
          <w:tcPr>
            <w:tcW w:w="900" w:type="dxa"/>
          </w:tcPr>
          <w:p w14:paraId="4BAC4A2B" w14:textId="18135034" w:rsidR="2566FF1D" w:rsidRDefault="2566FF1D">
            <w:r>
              <w:t>28.4%</w:t>
            </w:r>
          </w:p>
        </w:tc>
        <w:tc>
          <w:tcPr>
            <w:tcW w:w="1725" w:type="dxa"/>
          </w:tcPr>
          <w:p w14:paraId="371A6652" w14:textId="6B389E78" w:rsidR="2566FF1D" w:rsidRDefault="2566FF1D">
            <w:r>
              <w:t>Up against budget, margins on par</w:t>
            </w:r>
          </w:p>
        </w:tc>
        <w:tc>
          <w:tcPr>
            <w:tcW w:w="1935" w:type="dxa"/>
          </w:tcPr>
          <w:p w14:paraId="67C9AD4F" w14:textId="63BAE150" w:rsidR="2566FF1D" w:rsidRDefault="2566FF1D">
            <w:r>
              <w:t>Maintaining foot fall</w:t>
            </w:r>
          </w:p>
        </w:tc>
      </w:tr>
      <w:tr w:rsidR="2566FF1D" w14:paraId="5B90A881" w14:textId="77777777" w:rsidTr="2566FF1D">
        <w:tc>
          <w:tcPr>
            <w:tcW w:w="1128" w:type="dxa"/>
          </w:tcPr>
          <w:p w14:paraId="630E57B9" w14:textId="2C911CFC" w:rsidR="2566FF1D" w:rsidRDefault="2566FF1D">
            <w:r>
              <w:t>Dry</w:t>
            </w:r>
          </w:p>
        </w:tc>
        <w:tc>
          <w:tcPr>
            <w:tcW w:w="870" w:type="dxa"/>
          </w:tcPr>
          <w:p w14:paraId="23CEE5A4" w14:textId="0A6F8D9B" w:rsidR="2566FF1D" w:rsidRDefault="2566FF1D">
            <w:r>
              <w:t>30</w:t>
            </w:r>
          </w:p>
        </w:tc>
        <w:tc>
          <w:tcPr>
            <w:tcW w:w="1113" w:type="dxa"/>
          </w:tcPr>
          <w:p w14:paraId="101CD689" w14:textId="7DA43486" w:rsidR="2566FF1D" w:rsidRDefault="2566FF1D">
            <w:r>
              <w:t>46</w:t>
            </w:r>
          </w:p>
        </w:tc>
        <w:tc>
          <w:tcPr>
            <w:tcW w:w="915" w:type="dxa"/>
          </w:tcPr>
          <w:p w14:paraId="33B68E5D" w14:textId="2ED68D09" w:rsidR="2566FF1D" w:rsidRDefault="2566FF1D">
            <w:r>
              <w:t>31</w:t>
            </w:r>
          </w:p>
        </w:tc>
        <w:tc>
          <w:tcPr>
            <w:tcW w:w="975" w:type="dxa"/>
          </w:tcPr>
          <w:p w14:paraId="302D9598" w14:textId="757A92FF" w:rsidR="2566FF1D" w:rsidRDefault="2566FF1D">
            <w:r>
              <w:t>(16)</w:t>
            </w:r>
          </w:p>
        </w:tc>
        <w:tc>
          <w:tcPr>
            <w:tcW w:w="900" w:type="dxa"/>
          </w:tcPr>
          <w:p w14:paraId="6669BB9C" w14:textId="4D5DD4C2" w:rsidR="2566FF1D" w:rsidRDefault="2566FF1D">
            <w:r>
              <w:t>-34.8%</w:t>
            </w:r>
          </w:p>
        </w:tc>
        <w:tc>
          <w:tcPr>
            <w:tcW w:w="1725" w:type="dxa"/>
          </w:tcPr>
          <w:p w14:paraId="2A5A57B4" w14:textId="057AD78A" w:rsidR="2566FF1D" w:rsidRDefault="2566FF1D">
            <w:r>
              <w:t>Below budget, margins below expectations</w:t>
            </w:r>
          </w:p>
        </w:tc>
        <w:tc>
          <w:tcPr>
            <w:tcW w:w="1935" w:type="dxa"/>
          </w:tcPr>
          <w:p w14:paraId="32613B8A" w14:textId="08790B56" w:rsidR="2566FF1D" w:rsidRDefault="2566FF1D">
            <w:r>
              <w:t xml:space="preserve">Food standards, staffing </w:t>
            </w:r>
          </w:p>
        </w:tc>
      </w:tr>
      <w:tr w:rsidR="2566FF1D" w14:paraId="612A7556" w14:textId="77777777" w:rsidTr="2566FF1D">
        <w:tc>
          <w:tcPr>
            <w:tcW w:w="1128" w:type="dxa"/>
          </w:tcPr>
          <w:p w14:paraId="7E7DC86A" w14:textId="68FEB73D" w:rsidR="2566FF1D" w:rsidRDefault="2566FF1D">
            <w:r>
              <w:t>Other</w:t>
            </w:r>
          </w:p>
        </w:tc>
        <w:tc>
          <w:tcPr>
            <w:tcW w:w="870" w:type="dxa"/>
          </w:tcPr>
          <w:p w14:paraId="15F619CD" w14:textId="397250F8" w:rsidR="2566FF1D" w:rsidRDefault="2566FF1D"/>
        </w:tc>
        <w:tc>
          <w:tcPr>
            <w:tcW w:w="1113" w:type="dxa"/>
          </w:tcPr>
          <w:p w14:paraId="0B6500F4" w14:textId="10BDC777" w:rsidR="2566FF1D" w:rsidRDefault="2566FF1D"/>
        </w:tc>
        <w:tc>
          <w:tcPr>
            <w:tcW w:w="915" w:type="dxa"/>
          </w:tcPr>
          <w:p w14:paraId="6109755B" w14:textId="3BACE3EA" w:rsidR="2566FF1D" w:rsidRDefault="2566FF1D">
            <w:r>
              <w:t>22</w:t>
            </w:r>
          </w:p>
        </w:tc>
        <w:tc>
          <w:tcPr>
            <w:tcW w:w="975" w:type="dxa"/>
          </w:tcPr>
          <w:p w14:paraId="71DE299C" w14:textId="0D36078A" w:rsidR="2566FF1D" w:rsidRDefault="2566FF1D"/>
        </w:tc>
        <w:tc>
          <w:tcPr>
            <w:tcW w:w="900" w:type="dxa"/>
          </w:tcPr>
          <w:p w14:paraId="09862FB9" w14:textId="5E26F455" w:rsidR="2566FF1D" w:rsidRDefault="2566FF1D"/>
        </w:tc>
        <w:tc>
          <w:tcPr>
            <w:tcW w:w="1725" w:type="dxa"/>
          </w:tcPr>
          <w:p w14:paraId="37C172CB" w14:textId="7C4879A7" w:rsidR="2566FF1D" w:rsidRDefault="2566FF1D"/>
        </w:tc>
        <w:tc>
          <w:tcPr>
            <w:tcW w:w="1935" w:type="dxa"/>
          </w:tcPr>
          <w:p w14:paraId="42158BE0" w14:textId="7C2B58E5" w:rsidR="2566FF1D" w:rsidRDefault="2566FF1D"/>
        </w:tc>
      </w:tr>
      <w:tr w:rsidR="2566FF1D" w14:paraId="44B605B9" w14:textId="77777777" w:rsidTr="2566FF1D">
        <w:tc>
          <w:tcPr>
            <w:tcW w:w="9561" w:type="dxa"/>
            <w:gridSpan w:val="8"/>
          </w:tcPr>
          <w:p w14:paraId="37E57F6F" w14:textId="6197EB65" w:rsidR="2566FF1D" w:rsidRDefault="2566FF1D"/>
        </w:tc>
      </w:tr>
      <w:tr w:rsidR="2566FF1D" w14:paraId="30DDBF92" w14:textId="77777777" w:rsidTr="2566FF1D">
        <w:tc>
          <w:tcPr>
            <w:tcW w:w="9561" w:type="dxa"/>
            <w:gridSpan w:val="8"/>
            <w:shd w:val="clear" w:color="auto" w:fill="92D050"/>
          </w:tcPr>
          <w:p w14:paraId="4A302821" w14:textId="3DF2FD7B" w:rsidR="2566FF1D" w:rsidRDefault="2566FF1D">
            <w:r>
              <w:t>Metric</w:t>
            </w:r>
          </w:p>
        </w:tc>
      </w:tr>
      <w:tr w:rsidR="2566FF1D" w14:paraId="11A7CE06" w14:textId="77777777" w:rsidTr="2566FF1D">
        <w:tc>
          <w:tcPr>
            <w:tcW w:w="1128" w:type="dxa"/>
          </w:tcPr>
          <w:p w14:paraId="392217CD" w14:textId="5C70E6B1" w:rsidR="2566FF1D" w:rsidRDefault="2566FF1D">
            <w:r>
              <w:t>Wet</w:t>
            </w:r>
          </w:p>
        </w:tc>
        <w:tc>
          <w:tcPr>
            <w:tcW w:w="870" w:type="dxa"/>
          </w:tcPr>
          <w:p w14:paraId="77812345" w14:textId="2A3A71C7" w:rsidR="2566FF1D" w:rsidRDefault="2566FF1D">
            <w:r>
              <w:t>4</w:t>
            </w:r>
          </w:p>
        </w:tc>
        <w:tc>
          <w:tcPr>
            <w:tcW w:w="1113" w:type="dxa"/>
          </w:tcPr>
          <w:p w14:paraId="11DD662A" w14:textId="671617FC" w:rsidR="2566FF1D" w:rsidRDefault="2566FF1D">
            <w:r>
              <w:t>2</w:t>
            </w:r>
          </w:p>
        </w:tc>
        <w:tc>
          <w:tcPr>
            <w:tcW w:w="915" w:type="dxa"/>
          </w:tcPr>
          <w:p w14:paraId="6DD8FECF" w14:textId="1D87DB84" w:rsidR="2566FF1D" w:rsidRDefault="2566FF1D">
            <w:r>
              <w:t>2</w:t>
            </w:r>
          </w:p>
        </w:tc>
        <w:tc>
          <w:tcPr>
            <w:tcW w:w="975" w:type="dxa"/>
          </w:tcPr>
          <w:p w14:paraId="678D3CC8" w14:textId="64AC8E6A" w:rsidR="2566FF1D" w:rsidRDefault="2566FF1D">
            <w:r>
              <w:t>2</w:t>
            </w:r>
          </w:p>
        </w:tc>
        <w:tc>
          <w:tcPr>
            <w:tcW w:w="900" w:type="dxa"/>
          </w:tcPr>
          <w:p w14:paraId="1515658D" w14:textId="6A9F6126" w:rsidR="2566FF1D" w:rsidRDefault="2566FF1D">
            <w:r>
              <w:t>100.0%</w:t>
            </w:r>
          </w:p>
        </w:tc>
        <w:tc>
          <w:tcPr>
            <w:tcW w:w="1725" w:type="dxa"/>
          </w:tcPr>
          <w:p w14:paraId="6D9FD663" w14:textId="739DDFDD" w:rsidR="2566FF1D" w:rsidRDefault="2566FF1D">
            <w:r>
              <w:t>Up against budget, margins on par</w:t>
            </w:r>
          </w:p>
        </w:tc>
        <w:tc>
          <w:tcPr>
            <w:tcW w:w="1935" w:type="dxa"/>
          </w:tcPr>
          <w:p w14:paraId="71BC59F3" w14:textId="672531FC" w:rsidR="2566FF1D" w:rsidRDefault="2566FF1D">
            <w:r>
              <w:t>Maintaining foot fall</w:t>
            </w:r>
          </w:p>
        </w:tc>
      </w:tr>
      <w:tr w:rsidR="2566FF1D" w14:paraId="39316D17" w14:textId="77777777" w:rsidTr="2566FF1D">
        <w:tc>
          <w:tcPr>
            <w:tcW w:w="1128" w:type="dxa"/>
          </w:tcPr>
          <w:p w14:paraId="3AEA9D32" w14:textId="65DDD987" w:rsidR="2566FF1D" w:rsidRDefault="2566FF1D">
            <w:r>
              <w:t>Tickets</w:t>
            </w:r>
          </w:p>
        </w:tc>
        <w:tc>
          <w:tcPr>
            <w:tcW w:w="870" w:type="dxa"/>
          </w:tcPr>
          <w:p w14:paraId="33BA8C53" w14:textId="5ED7EBED" w:rsidR="2566FF1D" w:rsidRDefault="2566FF1D">
            <w:r>
              <w:t>8</w:t>
            </w:r>
          </w:p>
        </w:tc>
        <w:tc>
          <w:tcPr>
            <w:tcW w:w="1113" w:type="dxa"/>
          </w:tcPr>
          <w:p w14:paraId="54755470" w14:textId="1E452DF3" w:rsidR="2566FF1D" w:rsidRDefault="2566FF1D">
            <w:r>
              <w:t>1</w:t>
            </w:r>
          </w:p>
        </w:tc>
        <w:tc>
          <w:tcPr>
            <w:tcW w:w="915" w:type="dxa"/>
          </w:tcPr>
          <w:p w14:paraId="18A2FA10" w14:textId="3414C252" w:rsidR="2566FF1D" w:rsidRDefault="2566FF1D">
            <w:r>
              <w:t>3</w:t>
            </w:r>
          </w:p>
        </w:tc>
        <w:tc>
          <w:tcPr>
            <w:tcW w:w="975" w:type="dxa"/>
          </w:tcPr>
          <w:p w14:paraId="58D12F30" w14:textId="16336851" w:rsidR="2566FF1D" w:rsidRDefault="2566FF1D">
            <w:r>
              <w:t>7</w:t>
            </w:r>
          </w:p>
        </w:tc>
        <w:tc>
          <w:tcPr>
            <w:tcW w:w="900" w:type="dxa"/>
          </w:tcPr>
          <w:p w14:paraId="0B20437A" w14:textId="5CA10B7D" w:rsidR="2566FF1D" w:rsidRDefault="2566FF1D">
            <w:r>
              <w:t>700.0%</w:t>
            </w:r>
          </w:p>
        </w:tc>
        <w:tc>
          <w:tcPr>
            <w:tcW w:w="1725" w:type="dxa"/>
          </w:tcPr>
          <w:p w14:paraId="432F69E4" w14:textId="63C81ADB" w:rsidR="2566FF1D" w:rsidRDefault="2566FF1D"/>
        </w:tc>
        <w:tc>
          <w:tcPr>
            <w:tcW w:w="1935" w:type="dxa"/>
          </w:tcPr>
          <w:p w14:paraId="407DCF69" w14:textId="61ECC0CB" w:rsidR="2566FF1D" w:rsidRDefault="2566FF1D"/>
        </w:tc>
      </w:tr>
      <w:tr w:rsidR="2566FF1D" w14:paraId="271C7E8C" w14:textId="77777777" w:rsidTr="2566FF1D">
        <w:tc>
          <w:tcPr>
            <w:tcW w:w="1128" w:type="dxa"/>
          </w:tcPr>
          <w:p w14:paraId="7062DDBE" w14:textId="5EA1DCB6" w:rsidR="2566FF1D" w:rsidRDefault="2566FF1D"/>
        </w:tc>
        <w:tc>
          <w:tcPr>
            <w:tcW w:w="870" w:type="dxa"/>
          </w:tcPr>
          <w:p w14:paraId="0CC17A3A" w14:textId="767A906E" w:rsidR="2566FF1D" w:rsidRDefault="2566FF1D"/>
        </w:tc>
        <w:tc>
          <w:tcPr>
            <w:tcW w:w="1113" w:type="dxa"/>
          </w:tcPr>
          <w:p w14:paraId="2DCAEBA0" w14:textId="78217890" w:rsidR="2566FF1D" w:rsidRDefault="2566FF1D"/>
        </w:tc>
        <w:tc>
          <w:tcPr>
            <w:tcW w:w="915" w:type="dxa"/>
          </w:tcPr>
          <w:p w14:paraId="4CAACD2C" w14:textId="1DAF69A9" w:rsidR="2566FF1D" w:rsidRDefault="2566FF1D"/>
        </w:tc>
        <w:tc>
          <w:tcPr>
            <w:tcW w:w="975" w:type="dxa"/>
          </w:tcPr>
          <w:p w14:paraId="25E31E04" w14:textId="298514B4" w:rsidR="2566FF1D" w:rsidRDefault="2566FF1D"/>
        </w:tc>
        <w:tc>
          <w:tcPr>
            <w:tcW w:w="900" w:type="dxa"/>
          </w:tcPr>
          <w:p w14:paraId="2D441AB9" w14:textId="642D1127" w:rsidR="2566FF1D" w:rsidRDefault="2566FF1D"/>
        </w:tc>
        <w:tc>
          <w:tcPr>
            <w:tcW w:w="1725" w:type="dxa"/>
          </w:tcPr>
          <w:p w14:paraId="79D1C759" w14:textId="75797A9F" w:rsidR="2566FF1D" w:rsidRDefault="2566FF1D"/>
        </w:tc>
        <w:tc>
          <w:tcPr>
            <w:tcW w:w="1935" w:type="dxa"/>
          </w:tcPr>
          <w:p w14:paraId="63028C6A" w14:textId="17FE1CF9" w:rsidR="2566FF1D" w:rsidRDefault="2566FF1D"/>
        </w:tc>
      </w:tr>
      <w:tr w:rsidR="2566FF1D" w14:paraId="789449DA" w14:textId="77777777" w:rsidTr="2566FF1D">
        <w:tc>
          <w:tcPr>
            <w:tcW w:w="9561" w:type="dxa"/>
            <w:gridSpan w:val="8"/>
            <w:shd w:val="clear" w:color="auto" w:fill="FFC000" w:themeFill="accent4"/>
          </w:tcPr>
          <w:p w14:paraId="595B28B3" w14:textId="2B77D61C" w:rsidR="2566FF1D" w:rsidRDefault="2566FF1D">
            <w:r>
              <w:t>Union Dining Hall</w:t>
            </w:r>
          </w:p>
        </w:tc>
      </w:tr>
      <w:tr w:rsidR="2566FF1D" w14:paraId="1B89AA40" w14:textId="77777777" w:rsidTr="2566FF1D">
        <w:tc>
          <w:tcPr>
            <w:tcW w:w="1128" w:type="dxa"/>
          </w:tcPr>
          <w:p w14:paraId="6D669039" w14:textId="694F3B36" w:rsidR="2566FF1D" w:rsidRDefault="2566FF1D">
            <w:r>
              <w:t>Dry</w:t>
            </w:r>
          </w:p>
        </w:tc>
        <w:tc>
          <w:tcPr>
            <w:tcW w:w="870" w:type="dxa"/>
          </w:tcPr>
          <w:p w14:paraId="3FD09AE5" w14:textId="5D8EF9EB" w:rsidR="2566FF1D" w:rsidRDefault="2566FF1D">
            <w:r>
              <w:t>1</w:t>
            </w:r>
          </w:p>
        </w:tc>
        <w:tc>
          <w:tcPr>
            <w:tcW w:w="1113" w:type="dxa"/>
          </w:tcPr>
          <w:p w14:paraId="6B81E4A9" w14:textId="50DD6221" w:rsidR="2566FF1D" w:rsidRDefault="2566FF1D">
            <w:r>
              <w:t>2</w:t>
            </w:r>
          </w:p>
        </w:tc>
        <w:tc>
          <w:tcPr>
            <w:tcW w:w="915" w:type="dxa"/>
          </w:tcPr>
          <w:p w14:paraId="6EDF9015" w14:textId="2AE71F7D" w:rsidR="2566FF1D" w:rsidRDefault="2566FF1D">
            <w:r>
              <w:t>0</w:t>
            </w:r>
          </w:p>
        </w:tc>
        <w:tc>
          <w:tcPr>
            <w:tcW w:w="975" w:type="dxa"/>
          </w:tcPr>
          <w:p w14:paraId="1730DD8F" w14:textId="2917BF00" w:rsidR="2566FF1D" w:rsidRDefault="2566FF1D">
            <w:r>
              <w:t>(1)</w:t>
            </w:r>
          </w:p>
        </w:tc>
        <w:tc>
          <w:tcPr>
            <w:tcW w:w="900" w:type="dxa"/>
          </w:tcPr>
          <w:p w14:paraId="58F3F628" w14:textId="46EF3BFA" w:rsidR="2566FF1D" w:rsidRDefault="2566FF1D">
            <w:r>
              <w:t>-50.0%</w:t>
            </w:r>
          </w:p>
        </w:tc>
        <w:tc>
          <w:tcPr>
            <w:tcW w:w="1725" w:type="dxa"/>
          </w:tcPr>
          <w:p w14:paraId="45FFEC6D" w14:textId="5FD49C68" w:rsidR="2566FF1D" w:rsidRDefault="2566FF1D"/>
        </w:tc>
        <w:tc>
          <w:tcPr>
            <w:tcW w:w="1935" w:type="dxa"/>
          </w:tcPr>
          <w:p w14:paraId="163D3BE9" w14:textId="43A9F062" w:rsidR="2566FF1D" w:rsidRDefault="2566FF1D"/>
        </w:tc>
      </w:tr>
      <w:tr w:rsidR="2566FF1D" w14:paraId="4DAABC98" w14:textId="77777777" w:rsidTr="2566FF1D">
        <w:tc>
          <w:tcPr>
            <w:tcW w:w="1128" w:type="dxa"/>
          </w:tcPr>
          <w:p w14:paraId="1C69D704" w14:textId="4A24374F" w:rsidR="2566FF1D" w:rsidRDefault="2566FF1D"/>
        </w:tc>
        <w:tc>
          <w:tcPr>
            <w:tcW w:w="870" w:type="dxa"/>
          </w:tcPr>
          <w:p w14:paraId="3CC62200" w14:textId="71C69D7F" w:rsidR="2566FF1D" w:rsidRDefault="2566FF1D"/>
        </w:tc>
        <w:tc>
          <w:tcPr>
            <w:tcW w:w="1113" w:type="dxa"/>
          </w:tcPr>
          <w:p w14:paraId="00664E3E" w14:textId="051C2F6C" w:rsidR="2566FF1D" w:rsidRDefault="2566FF1D"/>
        </w:tc>
        <w:tc>
          <w:tcPr>
            <w:tcW w:w="915" w:type="dxa"/>
          </w:tcPr>
          <w:p w14:paraId="1F5DAEC7" w14:textId="0927C8B4" w:rsidR="2566FF1D" w:rsidRDefault="2566FF1D"/>
        </w:tc>
        <w:tc>
          <w:tcPr>
            <w:tcW w:w="975" w:type="dxa"/>
          </w:tcPr>
          <w:p w14:paraId="073DCF0F" w14:textId="0804E9DD" w:rsidR="2566FF1D" w:rsidRDefault="2566FF1D"/>
        </w:tc>
        <w:tc>
          <w:tcPr>
            <w:tcW w:w="900" w:type="dxa"/>
          </w:tcPr>
          <w:p w14:paraId="6ECC195E" w14:textId="773AF8D0" w:rsidR="2566FF1D" w:rsidRDefault="2566FF1D"/>
        </w:tc>
        <w:tc>
          <w:tcPr>
            <w:tcW w:w="1725" w:type="dxa"/>
          </w:tcPr>
          <w:p w14:paraId="67235A22" w14:textId="624736BF" w:rsidR="2566FF1D" w:rsidRDefault="2566FF1D"/>
        </w:tc>
        <w:tc>
          <w:tcPr>
            <w:tcW w:w="1935" w:type="dxa"/>
          </w:tcPr>
          <w:p w14:paraId="2B249099" w14:textId="7FF98B6E" w:rsidR="2566FF1D" w:rsidRDefault="2566FF1D"/>
        </w:tc>
      </w:tr>
      <w:tr w:rsidR="2566FF1D" w14:paraId="11C4E9FE" w14:textId="77777777" w:rsidTr="2566FF1D">
        <w:tc>
          <w:tcPr>
            <w:tcW w:w="1128" w:type="dxa"/>
            <w:shd w:val="clear" w:color="auto" w:fill="FF0000"/>
          </w:tcPr>
          <w:p w14:paraId="5C5A45ED" w14:textId="05D0F3CE" w:rsidR="2566FF1D" w:rsidRDefault="2566FF1D">
            <w:r>
              <w:t>H Bar</w:t>
            </w:r>
          </w:p>
        </w:tc>
        <w:tc>
          <w:tcPr>
            <w:tcW w:w="870" w:type="dxa"/>
            <w:shd w:val="clear" w:color="auto" w:fill="FF0000"/>
          </w:tcPr>
          <w:p w14:paraId="0EB502F5" w14:textId="2164342F" w:rsidR="2566FF1D" w:rsidRDefault="2566FF1D"/>
        </w:tc>
        <w:tc>
          <w:tcPr>
            <w:tcW w:w="1113" w:type="dxa"/>
            <w:shd w:val="clear" w:color="auto" w:fill="FF0000"/>
          </w:tcPr>
          <w:p w14:paraId="510B0B9F" w14:textId="37BB2E07" w:rsidR="2566FF1D" w:rsidRDefault="2566FF1D"/>
        </w:tc>
        <w:tc>
          <w:tcPr>
            <w:tcW w:w="915" w:type="dxa"/>
            <w:shd w:val="clear" w:color="auto" w:fill="FF0000"/>
          </w:tcPr>
          <w:p w14:paraId="5AB244BB" w14:textId="033374E9" w:rsidR="2566FF1D" w:rsidRDefault="2566FF1D"/>
        </w:tc>
        <w:tc>
          <w:tcPr>
            <w:tcW w:w="975" w:type="dxa"/>
            <w:shd w:val="clear" w:color="auto" w:fill="FF0000"/>
          </w:tcPr>
          <w:p w14:paraId="55C61C4F" w14:textId="5A4439E6" w:rsidR="2566FF1D" w:rsidRDefault="2566FF1D"/>
        </w:tc>
        <w:tc>
          <w:tcPr>
            <w:tcW w:w="900" w:type="dxa"/>
            <w:shd w:val="clear" w:color="auto" w:fill="FF0000"/>
          </w:tcPr>
          <w:p w14:paraId="25400178" w14:textId="6A81255D" w:rsidR="2566FF1D" w:rsidRDefault="2566FF1D"/>
        </w:tc>
        <w:tc>
          <w:tcPr>
            <w:tcW w:w="1725" w:type="dxa"/>
            <w:shd w:val="clear" w:color="auto" w:fill="FF0000"/>
          </w:tcPr>
          <w:p w14:paraId="547AC8A5" w14:textId="06135FFF" w:rsidR="2566FF1D" w:rsidRDefault="2566FF1D"/>
        </w:tc>
        <w:tc>
          <w:tcPr>
            <w:tcW w:w="1935" w:type="dxa"/>
            <w:shd w:val="clear" w:color="auto" w:fill="FF0000"/>
          </w:tcPr>
          <w:p w14:paraId="7F3269FE" w14:textId="6602CB0C" w:rsidR="2566FF1D" w:rsidRDefault="2566FF1D"/>
        </w:tc>
      </w:tr>
      <w:tr w:rsidR="2566FF1D" w14:paraId="1090E985" w14:textId="77777777" w:rsidTr="2566FF1D">
        <w:tc>
          <w:tcPr>
            <w:tcW w:w="1128" w:type="dxa"/>
          </w:tcPr>
          <w:p w14:paraId="2EF11ED7" w14:textId="505CF9CF" w:rsidR="2566FF1D" w:rsidRDefault="2566FF1D">
            <w:r>
              <w:t>Wet</w:t>
            </w:r>
          </w:p>
        </w:tc>
        <w:tc>
          <w:tcPr>
            <w:tcW w:w="870" w:type="dxa"/>
          </w:tcPr>
          <w:p w14:paraId="6CB71F82" w14:textId="45EDCB9D" w:rsidR="2566FF1D" w:rsidRDefault="2566FF1D">
            <w:r>
              <w:t>15</w:t>
            </w:r>
          </w:p>
        </w:tc>
        <w:tc>
          <w:tcPr>
            <w:tcW w:w="1113" w:type="dxa"/>
          </w:tcPr>
          <w:p w14:paraId="595A4036" w14:textId="1E0CAA8C" w:rsidR="2566FF1D" w:rsidRDefault="2566FF1D">
            <w:r>
              <w:t>20</w:t>
            </w:r>
          </w:p>
        </w:tc>
        <w:tc>
          <w:tcPr>
            <w:tcW w:w="915" w:type="dxa"/>
          </w:tcPr>
          <w:p w14:paraId="36C39717" w14:textId="2571D2D6" w:rsidR="2566FF1D" w:rsidRDefault="2566FF1D">
            <w:r>
              <w:t>20</w:t>
            </w:r>
          </w:p>
        </w:tc>
        <w:tc>
          <w:tcPr>
            <w:tcW w:w="975" w:type="dxa"/>
          </w:tcPr>
          <w:p w14:paraId="18A745AC" w14:textId="59111502" w:rsidR="2566FF1D" w:rsidRDefault="2566FF1D">
            <w:r>
              <w:t>(5)</w:t>
            </w:r>
          </w:p>
        </w:tc>
        <w:tc>
          <w:tcPr>
            <w:tcW w:w="900" w:type="dxa"/>
          </w:tcPr>
          <w:p w14:paraId="4ABB2126" w14:textId="4D9F3B31" w:rsidR="2566FF1D" w:rsidRDefault="2566FF1D">
            <w:r>
              <w:t>-25.0%</w:t>
            </w:r>
          </w:p>
        </w:tc>
        <w:tc>
          <w:tcPr>
            <w:tcW w:w="1725" w:type="dxa"/>
          </w:tcPr>
          <w:p w14:paraId="099D0DD6" w14:textId="788A8B54" w:rsidR="2566FF1D" w:rsidRDefault="2566FF1D">
            <w:r>
              <w:t>Below budget, margins (records) not accurate</w:t>
            </w:r>
          </w:p>
        </w:tc>
        <w:tc>
          <w:tcPr>
            <w:tcW w:w="1935" w:type="dxa"/>
          </w:tcPr>
          <w:p w14:paraId="2202DDC1" w14:textId="5047262E" w:rsidR="2566FF1D" w:rsidRDefault="2566FF1D">
            <w:r>
              <w:t>Engagement with no food offering</w:t>
            </w:r>
          </w:p>
        </w:tc>
      </w:tr>
      <w:tr w:rsidR="2566FF1D" w14:paraId="7F121CE8" w14:textId="77777777" w:rsidTr="2566FF1D">
        <w:tc>
          <w:tcPr>
            <w:tcW w:w="1128" w:type="dxa"/>
          </w:tcPr>
          <w:p w14:paraId="41D971CA" w14:textId="66762B6D" w:rsidR="2566FF1D" w:rsidRDefault="2566FF1D">
            <w:r>
              <w:t>Dry</w:t>
            </w:r>
          </w:p>
        </w:tc>
        <w:tc>
          <w:tcPr>
            <w:tcW w:w="870" w:type="dxa"/>
          </w:tcPr>
          <w:p w14:paraId="53A01D9A" w14:textId="2718A5C0" w:rsidR="2566FF1D" w:rsidRDefault="2566FF1D">
            <w:r>
              <w:t>0</w:t>
            </w:r>
          </w:p>
        </w:tc>
        <w:tc>
          <w:tcPr>
            <w:tcW w:w="1113" w:type="dxa"/>
          </w:tcPr>
          <w:p w14:paraId="06EEA1E3" w14:textId="093BDE90" w:rsidR="2566FF1D" w:rsidRDefault="2566FF1D">
            <w:r>
              <w:t>9</w:t>
            </w:r>
          </w:p>
        </w:tc>
        <w:tc>
          <w:tcPr>
            <w:tcW w:w="915" w:type="dxa"/>
          </w:tcPr>
          <w:p w14:paraId="07BDBD3D" w14:textId="154D3FDF" w:rsidR="2566FF1D" w:rsidRDefault="2566FF1D">
            <w:r>
              <w:t>0</w:t>
            </w:r>
          </w:p>
        </w:tc>
        <w:tc>
          <w:tcPr>
            <w:tcW w:w="975" w:type="dxa"/>
          </w:tcPr>
          <w:p w14:paraId="6450CF87" w14:textId="0078F7B1" w:rsidR="2566FF1D" w:rsidRDefault="2566FF1D">
            <w:r>
              <w:t>(9)</w:t>
            </w:r>
          </w:p>
        </w:tc>
        <w:tc>
          <w:tcPr>
            <w:tcW w:w="900" w:type="dxa"/>
          </w:tcPr>
          <w:p w14:paraId="035B53E5" w14:textId="2868F6D6" w:rsidR="2566FF1D" w:rsidRDefault="2566FF1D">
            <w:r>
              <w:t>-100.0%</w:t>
            </w:r>
          </w:p>
        </w:tc>
        <w:tc>
          <w:tcPr>
            <w:tcW w:w="1725" w:type="dxa"/>
          </w:tcPr>
          <w:p w14:paraId="0DCD5DA0" w14:textId="2E0FCC8A" w:rsidR="2566FF1D" w:rsidRDefault="2566FF1D">
            <w:r>
              <w:t>Service not started</w:t>
            </w:r>
          </w:p>
        </w:tc>
        <w:tc>
          <w:tcPr>
            <w:tcW w:w="1935" w:type="dxa"/>
          </w:tcPr>
          <w:p w14:paraId="378ADB91" w14:textId="65AF2721" w:rsidR="2566FF1D" w:rsidRDefault="2566FF1D">
            <w:r>
              <w:t xml:space="preserve">£31k for first term (£70k full year) </w:t>
            </w:r>
          </w:p>
        </w:tc>
      </w:tr>
      <w:tr w:rsidR="2566FF1D" w14:paraId="718AE631" w14:textId="77777777" w:rsidTr="2566FF1D">
        <w:tc>
          <w:tcPr>
            <w:tcW w:w="1128" w:type="dxa"/>
          </w:tcPr>
          <w:p w14:paraId="726E7D09" w14:textId="0EBF6367" w:rsidR="2566FF1D" w:rsidRDefault="2566FF1D"/>
        </w:tc>
        <w:tc>
          <w:tcPr>
            <w:tcW w:w="870" w:type="dxa"/>
          </w:tcPr>
          <w:p w14:paraId="352FD5A1" w14:textId="6F444FC9" w:rsidR="2566FF1D" w:rsidRDefault="2566FF1D"/>
        </w:tc>
        <w:tc>
          <w:tcPr>
            <w:tcW w:w="1113" w:type="dxa"/>
          </w:tcPr>
          <w:p w14:paraId="401C4481" w14:textId="7512E33C" w:rsidR="2566FF1D" w:rsidRDefault="2566FF1D"/>
        </w:tc>
        <w:tc>
          <w:tcPr>
            <w:tcW w:w="915" w:type="dxa"/>
          </w:tcPr>
          <w:p w14:paraId="21AADB0C" w14:textId="0AF79ACB" w:rsidR="2566FF1D" w:rsidRDefault="2566FF1D"/>
        </w:tc>
        <w:tc>
          <w:tcPr>
            <w:tcW w:w="975" w:type="dxa"/>
          </w:tcPr>
          <w:p w14:paraId="01C2CF53" w14:textId="32106112" w:rsidR="2566FF1D" w:rsidRDefault="2566FF1D"/>
        </w:tc>
        <w:tc>
          <w:tcPr>
            <w:tcW w:w="900" w:type="dxa"/>
          </w:tcPr>
          <w:p w14:paraId="1DF3F6D0" w14:textId="47D99C38" w:rsidR="2566FF1D" w:rsidRDefault="2566FF1D"/>
        </w:tc>
        <w:tc>
          <w:tcPr>
            <w:tcW w:w="1725" w:type="dxa"/>
          </w:tcPr>
          <w:p w14:paraId="08B7A1AE" w14:textId="570997C4" w:rsidR="2566FF1D" w:rsidRDefault="2566FF1D"/>
        </w:tc>
        <w:tc>
          <w:tcPr>
            <w:tcW w:w="1935" w:type="dxa"/>
          </w:tcPr>
          <w:p w14:paraId="74806777" w14:textId="739E1514" w:rsidR="2566FF1D" w:rsidRDefault="2566FF1D"/>
        </w:tc>
      </w:tr>
      <w:tr w:rsidR="2566FF1D" w14:paraId="7E802C46" w14:textId="77777777" w:rsidTr="2566FF1D">
        <w:tc>
          <w:tcPr>
            <w:tcW w:w="9561" w:type="dxa"/>
            <w:gridSpan w:val="8"/>
            <w:shd w:val="clear" w:color="auto" w:fill="FFC000" w:themeFill="accent4"/>
          </w:tcPr>
          <w:p w14:paraId="0C14D384" w14:textId="415CB0AB" w:rsidR="2566FF1D" w:rsidRDefault="2566FF1D">
            <w:r>
              <w:t>Reynolds</w:t>
            </w:r>
          </w:p>
        </w:tc>
      </w:tr>
      <w:tr w:rsidR="2566FF1D" w14:paraId="74852351" w14:textId="77777777" w:rsidTr="2566FF1D">
        <w:tc>
          <w:tcPr>
            <w:tcW w:w="1128" w:type="dxa"/>
          </w:tcPr>
          <w:p w14:paraId="0CE2ECE3" w14:textId="0514B6BA" w:rsidR="2566FF1D" w:rsidRDefault="2566FF1D">
            <w:r>
              <w:t>Wet</w:t>
            </w:r>
          </w:p>
        </w:tc>
        <w:tc>
          <w:tcPr>
            <w:tcW w:w="870" w:type="dxa"/>
          </w:tcPr>
          <w:p w14:paraId="2D3059C5" w14:textId="2D7C7A2F" w:rsidR="2566FF1D" w:rsidRDefault="2566FF1D">
            <w:r>
              <w:t>3</w:t>
            </w:r>
          </w:p>
        </w:tc>
        <w:tc>
          <w:tcPr>
            <w:tcW w:w="1113" w:type="dxa"/>
          </w:tcPr>
          <w:p w14:paraId="73827DE4" w14:textId="47889D99" w:rsidR="2566FF1D" w:rsidRDefault="2566FF1D">
            <w:r>
              <w:t>5</w:t>
            </w:r>
          </w:p>
        </w:tc>
        <w:tc>
          <w:tcPr>
            <w:tcW w:w="915" w:type="dxa"/>
          </w:tcPr>
          <w:p w14:paraId="63314A7C" w14:textId="215B6432" w:rsidR="2566FF1D" w:rsidRDefault="2566FF1D">
            <w:r>
              <w:t>5</w:t>
            </w:r>
          </w:p>
        </w:tc>
        <w:tc>
          <w:tcPr>
            <w:tcW w:w="975" w:type="dxa"/>
          </w:tcPr>
          <w:p w14:paraId="76DAAF1A" w14:textId="2CF41992" w:rsidR="2566FF1D" w:rsidRDefault="2566FF1D">
            <w:r>
              <w:t>(2)</w:t>
            </w:r>
          </w:p>
        </w:tc>
        <w:tc>
          <w:tcPr>
            <w:tcW w:w="900" w:type="dxa"/>
          </w:tcPr>
          <w:p w14:paraId="0F7B9D56" w14:textId="66F0FF74" w:rsidR="2566FF1D" w:rsidRDefault="2566FF1D">
            <w:r>
              <w:t>-40.0%</w:t>
            </w:r>
          </w:p>
        </w:tc>
        <w:tc>
          <w:tcPr>
            <w:tcW w:w="1725" w:type="dxa"/>
          </w:tcPr>
          <w:p w14:paraId="129C39DD" w14:textId="42C9E8B9" w:rsidR="2566FF1D" w:rsidRDefault="2566FF1D"/>
        </w:tc>
        <w:tc>
          <w:tcPr>
            <w:tcW w:w="1935" w:type="dxa"/>
          </w:tcPr>
          <w:p w14:paraId="20B3752F" w14:textId="3BAEE690" w:rsidR="2566FF1D" w:rsidRDefault="2566FF1D"/>
        </w:tc>
      </w:tr>
      <w:tr w:rsidR="2566FF1D" w14:paraId="11FC1D0F" w14:textId="77777777" w:rsidTr="2566FF1D">
        <w:tc>
          <w:tcPr>
            <w:tcW w:w="1128" w:type="dxa"/>
          </w:tcPr>
          <w:p w14:paraId="391B39F0" w14:textId="2FAA9B99" w:rsidR="2566FF1D" w:rsidRDefault="2566FF1D">
            <w:r>
              <w:t>Dry</w:t>
            </w:r>
          </w:p>
        </w:tc>
        <w:tc>
          <w:tcPr>
            <w:tcW w:w="870" w:type="dxa"/>
          </w:tcPr>
          <w:p w14:paraId="39836733" w14:textId="71804140" w:rsidR="2566FF1D" w:rsidRDefault="2566FF1D">
            <w:r>
              <w:t>0</w:t>
            </w:r>
          </w:p>
        </w:tc>
        <w:tc>
          <w:tcPr>
            <w:tcW w:w="1113" w:type="dxa"/>
          </w:tcPr>
          <w:p w14:paraId="2055981C" w14:textId="198AB55F" w:rsidR="2566FF1D" w:rsidRDefault="2566FF1D">
            <w:r>
              <w:t>0</w:t>
            </w:r>
          </w:p>
        </w:tc>
        <w:tc>
          <w:tcPr>
            <w:tcW w:w="915" w:type="dxa"/>
          </w:tcPr>
          <w:p w14:paraId="7614588B" w14:textId="57A57911" w:rsidR="2566FF1D" w:rsidRDefault="2566FF1D">
            <w:r>
              <w:t>0</w:t>
            </w:r>
          </w:p>
        </w:tc>
        <w:tc>
          <w:tcPr>
            <w:tcW w:w="975" w:type="dxa"/>
          </w:tcPr>
          <w:p w14:paraId="2BCDA896" w14:textId="468A4D03" w:rsidR="2566FF1D" w:rsidRDefault="2566FF1D">
            <w:r>
              <w:t>0</w:t>
            </w:r>
          </w:p>
        </w:tc>
        <w:tc>
          <w:tcPr>
            <w:tcW w:w="900" w:type="dxa"/>
          </w:tcPr>
          <w:p w14:paraId="64E9DC1F" w14:textId="79E1A691" w:rsidR="2566FF1D" w:rsidRDefault="2566FF1D">
            <w:r>
              <w:t>#DIV/0!</w:t>
            </w:r>
          </w:p>
        </w:tc>
        <w:tc>
          <w:tcPr>
            <w:tcW w:w="1725" w:type="dxa"/>
          </w:tcPr>
          <w:p w14:paraId="2D549B44" w14:textId="58B8CB48" w:rsidR="2566FF1D" w:rsidRDefault="2566FF1D">
            <w:r>
              <w:t>(figures too small)</w:t>
            </w:r>
          </w:p>
        </w:tc>
        <w:tc>
          <w:tcPr>
            <w:tcW w:w="1935" w:type="dxa"/>
          </w:tcPr>
          <w:p w14:paraId="2A409716" w14:textId="23672664" w:rsidR="2566FF1D" w:rsidRDefault="2566FF1D"/>
        </w:tc>
      </w:tr>
      <w:tr w:rsidR="2566FF1D" w14:paraId="05EE9A98" w14:textId="77777777" w:rsidTr="2566FF1D">
        <w:tc>
          <w:tcPr>
            <w:tcW w:w="1128" w:type="dxa"/>
          </w:tcPr>
          <w:p w14:paraId="40AA6711" w14:textId="68EE09E7" w:rsidR="2566FF1D" w:rsidRDefault="2566FF1D"/>
        </w:tc>
        <w:tc>
          <w:tcPr>
            <w:tcW w:w="870" w:type="dxa"/>
          </w:tcPr>
          <w:p w14:paraId="4830D3B5" w14:textId="1B972909" w:rsidR="2566FF1D" w:rsidRDefault="2566FF1D">
            <w:r>
              <w:t>201</w:t>
            </w:r>
          </w:p>
        </w:tc>
        <w:tc>
          <w:tcPr>
            <w:tcW w:w="1113" w:type="dxa"/>
          </w:tcPr>
          <w:p w14:paraId="6D8CDE40" w14:textId="1CAA447D" w:rsidR="2566FF1D" w:rsidRDefault="2566FF1D">
            <w:r>
              <w:t>194</w:t>
            </w:r>
          </w:p>
        </w:tc>
        <w:tc>
          <w:tcPr>
            <w:tcW w:w="915" w:type="dxa"/>
          </w:tcPr>
          <w:p w14:paraId="5775B5D3" w14:textId="73523BF9" w:rsidR="2566FF1D" w:rsidRDefault="2566FF1D">
            <w:r>
              <w:t>210</w:t>
            </w:r>
          </w:p>
        </w:tc>
        <w:tc>
          <w:tcPr>
            <w:tcW w:w="975" w:type="dxa"/>
          </w:tcPr>
          <w:p w14:paraId="5B7BB234" w14:textId="5CA434CF" w:rsidR="2566FF1D" w:rsidRDefault="2566FF1D">
            <w:r>
              <w:t>7</w:t>
            </w:r>
          </w:p>
        </w:tc>
        <w:tc>
          <w:tcPr>
            <w:tcW w:w="900" w:type="dxa"/>
          </w:tcPr>
          <w:p w14:paraId="12082F2C" w14:textId="32A72912" w:rsidR="2566FF1D" w:rsidRDefault="2566FF1D">
            <w:r>
              <w:t>3.6%</w:t>
            </w:r>
          </w:p>
        </w:tc>
        <w:tc>
          <w:tcPr>
            <w:tcW w:w="1725" w:type="dxa"/>
          </w:tcPr>
          <w:p w14:paraId="0EF6FECA" w14:textId="7A660877" w:rsidR="2566FF1D" w:rsidRDefault="2566FF1D"/>
        </w:tc>
        <w:tc>
          <w:tcPr>
            <w:tcW w:w="1935" w:type="dxa"/>
          </w:tcPr>
          <w:p w14:paraId="3AAFF975" w14:textId="05C2E907" w:rsidR="2566FF1D" w:rsidRDefault="2566FF1D"/>
        </w:tc>
      </w:tr>
      <w:tr w:rsidR="2566FF1D" w14:paraId="7BD39F74" w14:textId="77777777" w:rsidTr="2566FF1D">
        <w:tc>
          <w:tcPr>
            <w:tcW w:w="1128" w:type="dxa"/>
          </w:tcPr>
          <w:p w14:paraId="03A54330" w14:textId="07630973" w:rsidR="2566FF1D" w:rsidRDefault="2566FF1D"/>
        </w:tc>
        <w:tc>
          <w:tcPr>
            <w:tcW w:w="870" w:type="dxa"/>
          </w:tcPr>
          <w:p w14:paraId="08EE5EA3" w14:textId="761812CD" w:rsidR="2566FF1D" w:rsidRDefault="2566FF1D"/>
        </w:tc>
        <w:tc>
          <w:tcPr>
            <w:tcW w:w="1113" w:type="dxa"/>
          </w:tcPr>
          <w:p w14:paraId="06A1557C" w14:textId="0AE3794B" w:rsidR="2566FF1D" w:rsidRDefault="2566FF1D"/>
        </w:tc>
        <w:tc>
          <w:tcPr>
            <w:tcW w:w="915" w:type="dxa"/>
          </w:tcPr>
          <w:p w14:paraId="0F335953" w14:textId="50B500F5" w:rsidR="2566FF1D" w:rsidRDefault="2566FF1D"/>
        </w:tc>
        <w:tc>
          <w:tcPr>
            <w:tcW w:w="975" w:type="dxa"/>
          </w:tcPr>
          <w:p w14:paraId="5328FD8B" w14:textId="26EE830F" w:rsidR="2566FF1D" w:rsidRDefault="2566FF1D"/>
        </w:tc>
        <w:tc>
          <w:tcPr>
            <w:tcW w:w="900" w:type="dxa"/>
          </w:tcPr>
          <w:p w14:paraId="639F1D55" w14:textId="076E3098" w:rsidR="2566FF1D" w:rsidRDefault="2566FF1D"/>
        </w:tc>
        <w:tc>
          <w:tcPr>
            <w:tcW w:w="1725" w:type="dxa"/>
          </w:tcPr>
          <w:p w14:paraId="446B7B55" w14:textId="3C9807A5" w:rsidR="2566FF1D" w:rsidRDefault="2566FF1D"/>
        </w:tc>
        <w:tc>
          <w:tcPr>
            <w:tcW w:w="1935" w:type="dxa"/>
          </w:tcPr>
          <w:p w14:paraId="2344198D" w14:textId="7E759CE2" w:rsidR="2566FF1D" w:rsidRDefault="2566FF1D"/>
        </w:tc>
      </w:tr>
      <w:tr w:rsidR="2566FF1D" w14:paraId="42ADF922" w14:textId="77777777" w:rsidTr="2566FF1D">
        <w:tc>
          <w:tcPr>
            <w:tcW w:w="1128" w:type="dxa"/>
            <w:shd w:val="clear" w:color="auto" w:fill="FFC000" w:themeFill="accent4"/>
          </w:tcPr>
          <w:p w14:paraId="295BA067" w14:textId="09616078" w:rsidR="2566FF1D" w:rsidRDefault="2566FF1D">
            <w:r>
              <w:t xml:space="preserve">Beit Venues </w:t>
            </w:r>
          </w:p>
        </w:tc>
        <w:tc>
          <w:tcPr>
            <w:tcW w:w="870" w:type="dxa"/>
            <w:shd w:val="clear" w:color="auto" w:fill="FFC000" w:themeFill="accent4"/>
          </w:tcPr>
          <w:p w14:paraId="02BCAD98" w14:textId="7D09F1A4" w:rsidR="2566FF1D" w:rsidRDefault="2566FF1D">
            <w:r>
              <w:t>55</w:t>
            </w:r>
          </w:p>
        </w:tc>
        <w:tc>
          <w:tcPr>
            <w:tcW w:w="1113" w:type="dxa"/>
            <w:shd w:val="clear" w:color="auto" w:fill="FFC000" w:themeFill="accent4"/>
          </w:tcPr>
          <w:p w14:paraId="1CFC5CE9" w14:textId="7A0D8BEE" w:rsidR="2566FF1D" w:rsidRDefault="2566FF1D">
            <w:r>
              <w:t>59</w:t>
            </w:r>
          </w:p>
        </w:tc>
        <w:tc>
          <w:tcPr>
            <w:tcW w:w="915" w:type="dxa"/>
            <w:shd w:val="clear" w:color="auto" w:fill="FFC000" w:themeFill="accent4"/>
          </w:tcPr>
          <w:p w14:paraId="0AF7C05A" w14:textId="2FD7BE0E" w:rsidR="2566FF1D" w:rsidRDefault="2566FF1D">
            <w:r>
              <w:t>63</w:t>
            </w:r>
          </w:p>
        </w:tc>
        <w:tc>
          <w:tcPr>
            <w:tcW w:w="975" w:type="dxa"/>
            <w:shd w:val="clear" w:color="auto" w:fill="FFC000" w:themeFill="accent4"/>
          </w:tcPr>
          <w:p w14:paraId="1E481509" w14:textId="5156C6ED" w:rsidR="2566FF1D" w:rsidRDefault="2566FF1D">
            <w:r>
              <w:t>(4)</w:t>
            </w:r>
          </w:p>
        </w:tc>
        <w:tc>
          <w:tcPr>
            <w:tcW w:w="900" w:type="dxa"/>
            <w:shd w:val="clear" w:color="auto" w:fill="FFC000" w:themeFill="accent4"/>
          </w:tcPr>
          <w:p w14:paraId="15C0C902" w14:textId="4B0142CE" w:rsidR="2566FF1D" w:rsidRDefault="2566FF1D">
            <w:r>
              <w:t>-6.8%</w:t>
            </w:r>
          </w:p>
        </w:tc>
        <w:tc>
          <w:tcPr>
            <w:tcW w:w="1725" w:type="dxa"/>
            <w:shd w:val="clear" w:color="auto" w:fill="FFC000" w:themeFill="accent4"/>
          </w:tcPr>
          <w:p w14:paraId="0FE3E82D" w14:textId="29574AEF" w:rsidR="2566FF1D" w:rsidRDefault="2566FF1D">
            <w:r>
              <w:t>Below budget</w:t>
            </w:r>
          </w:p>
        </w:tc>
        <w:tc>
          <w:tcPr>
            <w:tcW w:w="1935" w:type="dxa"/>
            <w:shd w:val="clear" w:color="auto" w:fill="FFC000" w:themeFill="accent4"/>
          </w:tcPr>
          <w:p w14:paraId="3DE1D7D7" w14:textId="0DACF68D" w:rsidR="2566FF1D" w:rsidRDefault="2566FF1D">
            <w:r>
              <w:t xml:space="preserve">Customer growth &amp; retention, staffing </w:t>
            </w:r>
          </w:p>
        </w:tc>
      </w:tr>
      <w:tr w:rsidR="2566FF1D" w14:paraId="15C0E582" w14:textId="77777777" w:rsidTr="2566FF1D">
        <w:tc>
          <w:tcPr>
            <w:tcW w:w="1128" w:type="dxa"/>
            <w:shd w:val="clear" w:color="auto" w:fill="92D050"/>
          </w:tcPr>
          <w:p w14:paraId="7CDFA7D2" w14:textId="68551A6A" w:rsidR="2566FF1D" w:rsidRDefault="2566FF1D">
            <w:r>
              <w:t>Retail</w:t>
            </w:r>
          </w:p>
        </w:tc>
        <w:tc>
          <w:tcPr>
            <w:tcW w:w="870" w:type="dxa"/>
            <w:shd w:val="clear" w:color="auto" w:fill="92D050"/>
          </w:tcPr>
          <w:p w14:paraId="77DE4444" w14:textId="1E0C292E" w:rsidR="2566FF1D" w:rsidRDefault="2566FF1D">
            <w:r>
              <w:t>95</w:t>
            </w:r>
          </w:p>
        </w:tc>
        <w:tc>
          <w:tcPr>
            <w:tcW w:w="1113" w:type="dxa"/>
            <w:shd w:val="clear" w:color="auto" w:fill="92D050"/>
          </w:tcPr>
          <w:p w14:paraId="007D9FE1" w14:textId="0B8DA9EB" w:rsidR="2566FF1D" w:rsidRDefault="2566FF1D">
            <w:r>
              <w:t>92</w:t>
            </w:r>
          </w:p>
        </w:tc>
        <w:tc>
          <w:tcPr>
            <w:tcW w:w="915" w:type="dxa"/>
            <w:shd w:val="clear" w:color="auto" w:fill="92D050"/>
          </w:tcPr>
          <w:p w14:paraId="02B93491" w14:textId="7E042524" w:rsidR="2566FF1D" w:rsidRDefault="2566FF1D">
            <w:r>
              <w:t>86</w:t>
            </w:r>
          </w:p>
        </w:tc>
        <w:tc>
          <w:tcPr>
            <w:tcW w:w="975" w:type="dxa"/>
            <w:shd w:val="clear" w:color="auto" w:fill="92D050"/>
          </w:tcPr>
          <w:p w14:paraId="3643BEF2" w14:textId="158E25C0" w:rsidR="2566FF1D" w:rsidRDefault="2566FF1D">
            <w:r>
              <w:t>3</w:t>
            </w:r>
          </w:p>
        </w:tc>
        <w:tc>
          <w:tcPr>
            <w:tcW w:w="900" w:type="dxa"/>
            <w:shd w:val="clear" w:color="auto" w:fill="92D050"/>
          </w:tcPr>
          <w:p w14:paraId="61540DF7" w14:textId="450C399B" w:rsidR="2566FF1D" w:rsidRDefault="2566FF1D">
            <w:r>
              <w:t>3.3%</w:t>
            </w:r>
          </w:p>
        </w:tc>
        <w:tc>
          <w:tcPr>
            <w:tcW w:w="1725" w:type="dxa"/>
            <w:shd w:val="clear" w:color="auto" w:fill="92D050"/>
          </w:tcPr>
          <w:p w14:paraId="4ACD99FB" w14:textId="74C81E74" w:rsidR="2566FF1D" w:rsidRDefault="2566FF1D">
            <w:r>
              <w:t xml:space="preserve">Pressure on margins in Shop; ShopEx income up 13% </w:t>
            </w:r>
          </w:p>
        </w:tc>
        <w:tc>
          <w:tcPr>
            <w:tcW w:w="1935" w:type="dxa"/>
            <w:shd w:val="clear" w:color="auto" w:fill="92D050"/>
          </w:tcPr>
          <w:p w14:paraId="40300429" w14:textId="6B7F7914" w:rsidR="2566FF1D" w:rsidRDefault="2566FF1D">
            <w:r>
              <w:t>Opportunities for development (delay)</w:t>
            </w:r>
          </w:p>
        </w:tc>
      </w:tr>
      <w:tr w:rsidR="2566FF1D" w14:paraId="394A6401" w14:textId="77777777" w:rsidTr="2566FF1D">
        <w:tc>
          <w:tcPr>
            <w:tcW w:w="1128" w:type="dxa"/>
          </w:tcPr>
          <w:p w14:paraId="3745D8C2" w14:textId="492E6DF3" w:rsidR="1E36F7CA" w:rsidRDefault="1E36F7CA">
            <w:r>
              <w:t xml:space="preserve">TOTAL </w:t>
            </w:r>
          </w:p>
        </w:tc>
        <w:tc>
          <w:tcPr>
            <w:tcW w:w="870" w:type="dxa"/>
          </w:tcPr>
          <w:p w14:paraId="36501D4C" w14:textId="3B00AA21" w:rsidR="2566FF1D" w:rsidRDefault="2566FF1D">
            <w:r>
              <w:t>351</w:t>
            </w:r>
          </w:p>
        </w:tc>
        <w:tc>
          <w:tcPr>
            <w:tcW w:w="1113" w:type="dxa"/>
          </w:tcPr>
          <w:p w14:paraId="2F99E8AB" w14:textId="4D4D825E" w:rsidR="2566FF1D" w:rsidRDefault="2566FF1D">
            <w:r>
              <w:t>345</w:t>
            </w:r>
          </w:p>
        </w:tc>
        <w:tc>
          <w:tcPr>
            <w:tcW w:w="915" w:type="dxa"/>
          </w:tcPr>
          <w:p w14:paraId="2900E715" w14:textId="3AB506CF" w:rsidR="2566FF1D" w:rsidRDefault="2566FF1D">
            <w:r>
              <w:t>359</w:t>
            </w:r>
          </w:p>
        </w:tc>
        <w:tc>
          <w:tcPr>
            <w:tcW w:w="975" w:type="dxa"/>
          </w:tcPr>
          <w:p w14:paraId="343A9F6C" w14:textId="6026797D" w:rsidR="2566FF1D" w:rsidRDefault="2566FF1D">
            <w:r>
              <w:t>6</w:t>
            </w:r>
          </w:p>
        </w:tc>
        <w:tc>
          <w:tcPr>
            <w:tcW w:w="900" w:type="dxa"/>
          </w:tcPr>
          <w:p w14:paraId="402C58BF" w14:textId="3F52AA12" w:rsidR="2566FF1D" w:rsidRDefault="2566FF1D">
            <w:r>
              <w:t>1.7%</w:t>
            </w:r>
          </w:p>
        </w:tc>
        <w:tc>
          <w:tcPr>
            <w:tcW w:w="1725" w:type="dxa"/>
          </w:tcPr>
          <w:p w14:paraId="47215AEC" w14:textId="727F0A8D" w:rsidR="2566FF1D" w:rsidRDefault="2566FF1D"/>
        </w:tc>
        <w:tc>
          <w:tcPr>
            <w:tcW w:w="1935" w:type="dxa"/>
          </w:tcPr>
          <w:p w14:paraId="5986573E" w14:textId="546DB30F" w:rsidR="2566FF1D" w:rsidRDefault="2566FF1D"/>
        </w:tc>
      </w:tr>
    </w:tbl>
    <w:p w14:paraId="14661264" w14:textId="52EDE4F5" w:rsidR="2566FF1D" w:rsidRDefault="2566FF1D"/>
    <w:p w14:paraId="0256F959" w14:textId="0D706BDA" w:rsidR="2566FF1D" w:rsidRDefault="2566FF1D" w:rsidP="2566FF1D">
      <w:pPr>
        <w:spacing w:after="0"/>
      </w:pPr>
    </w:p>
    <w:sectPr w:rsidR="2566F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43E2"/>
    <w:multiLevelType w:val="hybridMultilevel"/>
    <w:tmpl w:val="03145248"/>
    <w:lvl w:ilvl="0" w:tplc="E4CCF74A">
      <w:start w:val="1"/>
      <w:numFmt w:val="decimal"/>
      <w:lvlText w:val="%1."/>
      <w:lvlJc w:val="left"/>
      <w:pPr>
        <w:ind w:left="720" w:hanging="360"/>
      </w:pPr>
    </w:lvl>
    <w:lvl w:ilvl="1" w:tplc="905ED248">
      <w:start w:val="1"/>
      <w:numFmt w:val="lowerLetter"/>
      <w:lvlText w:val="%2."/>
      <w:lvlJc w:val="left"/>
      <w:pPr>
        <w:ind w:left="1440" w:hanging="360"/>
      </w:pPr>
    </w:lvl>
    <w:lvl w:ilvl="2" w:tplc="A61C2E2C">
      <w:start w:val="1"/>
      <w:numFmt w:val="lowerRoman"/>
      <w:lvlText w:val="%3."/>
      <w:lvlJc w:val="right"/>
      <w:pPr>
        <w:ind w:left="2160" w:hanging="180"/>
      </w:pPr>
    </w:lvl>
    <w:lvl w:ilvl="3" w:tplc="D1D808DC">
      <w:start w:val="1"/>
      <w:numFmt w:val="decimal"/>
      <w:lvlText w:val="%4."/>
      <w:lvlJc w:val="left"/>
      <w:pPr>
        <w:ind w:left="2880" w:hanging="360"/>
      </w:pPr>
    </w:lvl>
    <w:lvl w:ilvl="4" w:tplc="1EB20A80">
      <w:start w:val="1"/>
      <w:numFmt w:val="lowerLetter"/>
      <w:lvlText w:val="%5."/>
      <w:lvlJc w:val="left"/>
      <w:pPr>
        <w:ind w:left="3600" w:hanging="360"/>
      </w:pPr>
    </w:lvl>
    <w:lvl w:ilvl="5" w:tplc="259E85A2">
      <w:start w:val="1"/>
      <w:numFmt w:val="lowerRoman"/>
      <w:lvlText w:val="%6."/>
      <w:lvlJc w:val="right"/>
      <w:pPr>
        <w:ind w:left="4320" w:hanging="180"/>
      </w:pPr>
    </w:lvl>
    <w:lvl w:ilvl="6" w:tplc="28908F04">
      <w:start w:val="1"/>
      <w:numFmt w:val="decimal"/>
      <w:lvlText w:val="%7."/>
      <w:lvlJc w:val="left"/>
      <w:pPr>
        <w:ind w:left="5040" w:hanging="360"/>
      </w:pPr>
    </w:lvl>
    <w:lvl w:ilvl="7" w:tplc="FE744EFC">
      <w:start w:val="1"/>
      <w:numFmt w:val="lowerLetter"/>
      <w:lvlText w:val="%8."/>
      <w:lvlJc w:val="left"/>
      <w:pPr>
        <w:ind w:left="5760" w:hanging="360"/>
      </w:pPr>
    </w:lvl>
    <w:lvl w:ilvl="8" w:tplc="AF329D98">
      <w:start w:val="1"/>
      <w:numFmt w:val="lowerRoman"/>
      <w:lvlText w:val="%9."/>
      <w:lvlJc w:val="right"/>
      <w:pPr>
        <w:ind w:left="6480" w:hanging="180"/>
      </w:pPr>
    </w:lvl>
  </w:abstractNum>
  <w:abstractNum w:abstractNumId="1" w15:restartNumberingAfterBreak="0">
    <w:nsid w:val="1FDB4A67"/>
    <w:multiLevelType w:val="hybridMultilevel"/>
    <w:tmpl w:val="255470D2"/>
    <w:lvl w:ilvl="0" w:tplc="B8D0AF10">
      <w:start w:val="1"/>
      <w:numFmt w:val="decimal"/>
      <w:lvlText w:val="%1."/>
      <w:lvlJc w:val="left"/>
      <w:pPr>
        <w:ind w:left="720" w:hanging="360"/>
      </w:pPr>
    </w:lvl>
    <w:lvl w:ilvl="1" w:tplc="A5FAFFF2">
      <w:start w:val="1"/>
      <w:numFmt w:val="lowerLetter"/>
      <w:lvlText w:val="%2."/>
      <w:lvlJc w:val="left"/>
      <w:pPr>
        <w:ind w:left="1440" w:hanging="360"/>
      </w:pPr>
    </w:lvl>
    <w:lvl w:ilvl="2" w:tplc="7C124424">
      <w:start w:val="1"/>
      <w:numFmt w:val="lowerRoman"/>
      <w:lvlText w:val="%3."/>
      <w:lvlJc w:val="right"/>
      <w:pPr>
        <w:ind w:left="2160" w:hanging="180"/>
      </w:pPr>
    </w:lvl>
    <w:lvl w:ilvl="3" w:tplc="6D14F1CC">
      <w:start w:val="1"/>
      <w:numFmt w:val="decimal"/>
      <w:lvlText w:val="%4."/>
      <w:lvlJc w:val="left"/>
      <w:pPr>
        <w:ind w:left="2880" w:hanging="360"/>
      </w:pPr>
    </w:lvl>
    <w:lvl w:ilvl="4" w:tplc="B9741796">
      <w:start w:val="1"/>
      <w:numFmt w:val="lowerLetter"/>
      <w:lvlText w:val="%5."/>
      <w:lvlJc w:val="left"/>
      <w:pPr>
        <w:ind w:left="3600" w:hanging="360"/>
      </w:pPr>
    </w:lvl>
    <w:lvl w:ilvl="5" w:tplc="242647C6">
      <w:start w:val="1"/>
      <w:numFmt w:val="lowerRoman"/>
      <w:lvlText w:val="%6."/>
      <w:lvlJc w:val="right"/>
      <w:pPr>
        <w:ind w:left="4320" w:hanging="180"/>
      </w:pPr>
    </w:lvl>
    <w:lvl w:ilvl="6" w:tplc="0B3A1476">
      <w:start w:val="1"/>
      <w:numFmt w:val="decimal"/>
      <w:lvlText w:val="%7."/>
      <w:lvlJc w:val="left"/>
      <w:pPr>
        <w:ind w:left="5040" w:hanging="360"/>
      </w:pPr>
    </w:lvl>
    <w:lvl w:ilvl="7" w:tplc="32403B00">
      <w:start w:val="1"/>
      <w:numFmt w:val="lowerLetter"/>
      <w:lvlText w:val="%8."/>
      <w:lvlJc w:val="left"/>
      <w:pPr>
        <w:ind w:left="5760" w:hanging="360"/>
      </w:pPr>
    </w:lvl>
    <w:lvl w:ilvl="8" w:tplc="B704C2B6">
      <w:start w:val="1"/>
      <w:numFmt w:val="lowerRoman"/>
      <w:lvlText w:val="%9."/>
      <w:lvlJc w:val="right"/>
      <w:pPr>
        <w:ind w:left="6480" w:hanging="180"/>
      </w:pPr>
    </w:lvl>
  </w:abstractNum>
  <w:abstractNum w:abstractNumId="2" w15:restartNumberingAfterBreak="0">
    <w:nsid w:val="2CC662D3"/>
    <w:multiLevelType w:val="hybridMultilevel"/>
    <w:tmpl w:val="2C565CF8"/>
    <w:lvl w:ilvl="0" w:tplc="14683182">
      <w:start w:val="1"/>
      <w:numFmt w:val="decimal"/>
      <w:lvlText w:val="%1."/>
      <w:lvlJc w:val="left"/>
      <w:pPr>
        <w:ind w:left="720" w:hanging="360"/>
      </w:pPr>
    </w:lvl>
    <w:lvl w:ilvl="1" w:tplc="C9A2EA46">
      <w:start w:val="1"/>
      <w:numFmt w:val="lowerLetter"/>
      <w:lvlText w:val="%2."/>
      <w:lvlJc w:val="left"/>
      <w:pPr>
        <w:ind w:left="1440" w:hanging="360"/>
      </w:pPr>
    </w:lvl>
    <w:lvl w:ilvl="2" w:tplc="33E6559E">
      <w:start w:val="1"/>
      <w:numFmt w:val="lowerRoman"/>
      <w:lvlText w:val="%3."/>
      <w:lvlJc w:val="right"/>
      <w:pPr>
        <w:ind w:left="2160" w:hanging="180"/>
      </w:pPr>
    </w:lvl>
    <w:lvl w:ilvl="3" w:tplc="0958D852">
      <w:start w:val="1"/>
      <w:numFmt w:val="decimal"/>
      <w:lvlText w:val="%4."/>
      <w:lvlJc w:val="left"/>
      <w:pPr>
        <w:ind w:left="2880" w:hanging="360"/>
      </w:pPr>
    </w:lvl>
    <w:lvl w:ilvl="4" w:tplc="57B89CE2">
      <w:start w:val="1"/>
      <w:numFmt w:val="lowerLetter"/>
      <w:lvlText w:val="%5."/>
      <w:lvlJc w:val="left"/>
      <w:pPr>
        <w:ind w:left="3600" w:hanging="360"/>
      </w:pPr>
    </w:lvl>
    <w:lvl w:ilvl="5" w:tplc="184ECAB4">
      <w:start w:val="1"/>
      <w:numFmt w:val="lowerRoman"/>
      <w:lvlText w:val="%6."/>
      <w:lvlJc w:val="right"/>
      <w:pPr>
        <w:ind w:left="4320" w:hanging="180"/>
      </w:pPr>
    </w:lvl>
    <w:lvl w:ilvl="6" w:tplc="ECFE8D9C">
      <w:start w:val="1"/>
      <w:numFmt w:val="decimal"/>
      <w:lvlText w:val="%7."/>
      <w:lvlJc w:val="left"/>
      <w:pPr>
        <w:ind w:left="5040" w:hanging="360"/>
      </w:pPr>
    </w:lvl>
    <w:lvl w:ilvl="7" w:tplc="1C60FAC8">
      <w:start w:val="1"/>
      <w:numFmt w:val="lowerLetter"/>
      <w:lvlText w:val="%8."/>
      <w:lvlJc w:val="left"/>
      <w:pPr>
        <w:ind w:left="5760" w:hanging="360"/>
      </w:pPr>
    </w:lvl>
    <w:lvl w:ilvl="8" w:tplc="4EE2947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40360"/>
    <w:rsid w:val="000802ED"/>
    <w:rsid w:val="001248B5"/>
    <w:rsid w:val="002F7C43"/>
    <w:rsid w:val="00321B3B"/>
    <w:rsid w:val="00374C0F"/>
    <w:rsid w:val="00412BD6"/>
    <w:rsid w:val="00424F3C"/>
    <w:rsid w:val="005529D8"/>
    <w:rsid w:val="00823CBC"/>
    <w:rsid w:val="008E3C4E"/>
    <w:rsid w:val="00917EA0"/>
    <w:rsid w:val="0095232A"/>
    <w:rsid w:val="00991070"/>
    <w:rsid w:val="009F0027"/>
    <w:rsid w:val="00AD283A"/>
    <w:rsid w:val="00B0118D"/>
    <w:rsid w:val="00B873EB"/>
    <w:rsid w:val="00BC089A"/>
    <w:rsid w:val="00C5000B"/>
    <w:rsid w:val="00C5438F"/>
    <w:rsid w:val="00DD0337"/>
    <w:rsid w:val="00DD7F21"/>
    <w:rsid w:val="00E1132B"/>
    <w:rsid w:val="00EA6C62"/>
    <w:rsid w:val="00F25453"/>
    <w:rsid w:val="014ABF0E"/>
    <w:rsid w:val="02283415"/>
    <w:rsid w:val="024A6FB7"/>
    <w:rsid w:val="025985F6"/>
    <w:rsid w:val="0283AAC6"/>
    <w:rsid w:val="036A7BF1"/>
    <w:rsid w:val="03D27086"/>
    <w:rsid w:val="047E8B39"/>
    <w:rsid w:val="050C7BAD"/>
    <w:rsid w:val="05D1D30B"/>
    <w:rsid w:val="06E47B26"/>
    <w:rsid w:val="0736B4A4"/>
    <w:rsid w:val="080133E9"/>
    <w:rsid w:val="0825693E"/>
    <w:rsid w:val="09A7BC4B"/>
    <w:rsid w:val="0BF43EE0"/>
    <w:rsid w:val="0EE06EFC"/>
    <w:rsid w:val="0F193455"/>
    <w:rsid w:val="0F57E3ED"/>
    <w:rsid w:val="0F81C12D"/>
    <w:rsid w:val="10574752"/>
    <w:rsid w:val="112C3A51"/>
    <w:rsid w:val="113B4948"/>
    <w:rsid w:val="12318499"/>
    <w:rsid w:val="128B3045"/>
    <w:rsid w:val="131EC1E2"/>
    <w:rsid w:val="13AD5B34"/>
    <w:rsid w:val="13C42E87"/>
    <w:rsid w:val="15EDD330"/>
    <w:rsid w:val="1688DF3F"/>
    <w:rsid w:val="17039496"/>
    <w:rsid w:val="1770211A"/>
    <w:rsid w:val="188D7860"/>
    <w:rsid w:val="1A7F009C"/>
    <w:rsid w:val="1C196D1F"/>
    <w:rsid w:val="1C3AA486"/>
    <w:rsid w:val="1CC141B3"/>
    <w:rsid w:val="1CFA969A"/>
    <w:rsid w:val="1DAEB725"/>
    <w:rsid w:val="1E36F7CA"/>
    <w:rsid w:val="1ECE43DF"/>
    <w:rsid w:val="1FC370CC"/>
    <w:rsid w:val="20B1225D"/>
    <w:rsid w:val="20D1E974"/>
    <w:rsid w:val="22162DAB"/>
    <w:rsid w:val="22AD1CE8"/>
    <w:rsid w:val="22BFDC1B"/>
    <w:rsid w:val="22F31A8E"/>
    <w:rsid w:val="241927A6"/>
    <w:rsid w:val="24618F5A"/>
    <w:rsid w:val="2552CD16"/>
    <w:rsid w:val="2566FF1D"/>
    <w:rsid w:val="25BA5F08"/>
    <w:rsid w:val="25C99600"/>
    <w:rsid w:val="26C39844"/>
    <w:rsid w:val="26E49DE0"/>
    <w:rsid w:val="2875A666"/>
    <w:rsid w:val="287D32ED"/>
    <w:rsid w:val="29F1815F"/>
    <w:rsid w:val="2AF49183"/>
    <w:rsid w:val="2AF4A5D6"/>
    <w:rsid w:val="2B81F769"/>
    <w:rsid w:val="2C1CAA7B"/>
    <w:rsid w:val="2CFECAE0"/>
    <w:rsid w:val="2DA10E83"/>
    <w:rsid w:val="2DAE24C7"/>
    <w:rsid w:val="2DDD447F"/>
    <w:rsid w:val="31330652"/>
    <w:rsid w:val="313483BE"/>
    <w:rsid w:val="32287629"/>
    <w:rsid w:val="32A49ABD"/>
    <w:rsid w:val="33F4BD30"/>
    <w:rsid w:val="34AE789F"/>
    <w:rsid w:val="36D5E1AC"/>
    <w:rsid w:val="3770B052"/>
    <w:rsid w:val="377B1EBB"/>
    <w:rsid w:val="38670D93"/>
    <w:rsid w:val="390E512D"/>
    <w:rsid w:val="39D22847"/>
    <w:rsid w:val="39F0505C"/>
    <w:rsid w:val="3AD9B895"/>
    <w:rsid w:val="3B6AA676"/>
    <w:rsid w:val="3BF25F36"/>
    <w:rsid w:val="3C2334CF"/>
    <w:rsid w:val="3CE7A19C"/>
    <w:rsid w:val="3DBE259C"/>
    <w:rsid w:val="3E4B73E8"/>
    <w:rsid w:val="3E7198E8"/>
    <w:rsid w:val="3EEEFAB7"/>
    <w:rsid w:val="3F1565B6"/>
    <w:rsid w:val="400623A1"/>
    <w:rsid w:val="404D0E75"/>
    <w:rsid w:val="40651EF6"/>
    <w:rsid w:val="432818F9"/>
    <w:rsid w:val="44656C54"/>
    <w:rsid w:val="44B94913"/>
    <w:rsid w:val="44BC46EB"/>
    <w:rsid w:val="44F2BF4F"/>
    <w:rsid w:val="45683BCD"/>
    <w:rsid w:val="4730CDB1"/>
    <w:rsid w:val="47A6522D"/>
    <w:rsid w:val="47AC23FB"/>
    <w:rsid w:val="484218D5"/>
    <w:rsid w:val="48A5F6D0"/>
    <w:rsid w:val="48A63D57"/>
    <w:rsid w:val="48ABB465"/>
    <w:rsid w:val="48F9394B"/>
    <w:rsid w:val="49E4779C"/>
    <w:rsid w:val="4A35628C"/>
    <w:rsid w:val="4C2B12F3"/>
    <w:rsid w:val="4C41FED5"/>
    <w:rsid w:val="4C44F8A1"/>
    <w:rsid w:val="4C5C8D05"/>
    <w:rsid w:val="4DB77BDB"/>
    <w:rsid w:val="4E5E27F2"/>
    <w:rsid w:val="4E7CA996"/>
    <w:rsid w:val="4E986D20"/>
    <w:rsid w:val="4EAEBBD5"/>
    <w:rsid w:val="4F01939C"/>
    <w:rsid w:val="4FD3B4C7"/>
    <w:rsid w:val="50D6C048"/>
    <w:rsid w:val="51659902"/>
    <w:rsid w:val="52D16576"/>
    <w:rsid w:val="5385DB68"/>
    <w:rsid w:val="53D2DEBA"/>
    <w:rsid w:val="545B0FF4"/>
    <w:rsid w:val="54FE7590"/>
    <w:rsid w:val="554588BB"/>
    <w:rsid w:val="5553CB15"/>
    <w:rsid w:val="56E03953"/>
    <w:rsid w:val="571072F5"/>
    <w:rsid w:val="5878F677"/>
    <w:rsid w:val="58BAE181"/>
    <w:rsid w:val="58CC15DD"/>
    <w:rsid w:val="59B93B83"/>
    <w:rsid w:val="5B8ACFEA"/>
    <w:rsid w:val="5E6C9C2E"/>
    <w:rsid w:val="5F5BB66C"/>
    <w:rsid w:val="5F9262AB"/>
    <w:rsid w:val="5FB12664"/>
    <w:rsid w:val="603531C2"/>
    <w:rsid w:val="61967E16"/>
    <w:rsid w:val="61C7C1AF"/>
    <w:rsid w:val="624EAFD7"/>
    <w:rsid w:val="62662060"/>
    <w:rsid w:val="635CD92C"/>
    <w:rsid w:val="63C4CCF7"/>
    <w:rsid w:val="63E51710"/>
    <w:rsid w:val="64580CBA"/>
    <w:rsid w:val="66566DB9"/>
    <w:rsid w:val="665F35D5"/>
    <w:rsid w:val="6703BC6A"/>
    <w:rsid w:val="68B3AC50"/>
    <w:rsid w:val="69053545"/>
    <w:rsid w:val="6B7C8272"/>
    <w:rsid w:val="6BF8239E"/>
    <w:rsid w:val="6F612093"/>
    <w:rsid w:val="6F6216E0"/>
    <w:rsid w:val="6F951A14"/>
    <w:rsid w:val="6FA9820E"/>
    <w:rsid w:val="7116189E"/>
    <w:rsid w:val="71D0A25B"/>
    <w:rsid w:val="7209EF2F"/>
    <w:rsid w:val="73242C9F"/>
    <w:rsid w:val="7346C26D"/>
    <w:rsid w:val="74C2B86D"/>
    <w:rsid w:val="74ECA571"/>
    <w:rsid w:val="76A4640B"/>
    <w:rsid w:val="76B3DBF3"/>
    <w:rsid w:val="76BD10E1"/>
    <w:rsid w:val="7839D779"/>
    <w:rsid w:val="796EFF35"/>
    <w:rsid w:val="797C0C2E"/>
    <w:rsid w:val="79905477"/>
    <w:rsid w:val="79DB6502"/>
    <w:rsid w:val="7AB13D76"/>
    <w:rsid w:val="7AE719EC"/>
    <w:rsid w:val="7C11EDDE"/>
    <w:rsid w:val="7CDE254B"/>
    <w:rsid w:val="7CF30D22"/>
    <w:rsid w:val="7CFCFD94"/>
    <w:rsid w:val="7D198C8A"/>
    <w:rsid w:val="7E1E0339"/>
    <w:rsid w:val="7E8EC5AF"/>
    <w:rsid w:val="7F537269"/>
    <w:rsid w:val="7F849F4B"/>
    <w:rsid w:val="7FDBF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8C7A"/>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F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4" ma:contentTypeDescription="Create a new document." ma:contentTypeScope="" ma:versionID="00de7a517d44ae8499002a020ae52fb2">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9a77a030693648382a6d5cb1decfefcf"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3e2baa-b2d4-4c01-984d-67f701d048c9">
      <UserInfo>
        <DisplayName/>
        <AccountId xsi:nil="true"/>
        <AccountType/>
      </UserInfo>
    </SharedWithUsers>
  </documentManagement>
</p:properties>
</file>

<file path=customXml/itemProps1.xml><?xml version="1.0" encoding="utf-8"?>
<ds:datastoreItem xmlns:ds="http://schemas.openxmlformats.org/officeDocument/2006/customXml" ds:itemID="{D3074B9C-071F-43E4-A0D6-46E47097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1e851-029c-4432-82bb-3ff89f62f0df"/>
    <ds:schemaRef ds:uri="5a3e2baa-b2d4-4c01-984d-67f701d04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4B9C-7A69-4FB5-911F-11A88516272F}">
  <ds:schemaRefs>
    <ds:schemaRef ds:uri="http://schemas.microsoft.com/sharepoint/v3/contenttype/forms"/>
  </ds:schemaRefs>
</ds:datastoreItem>
</file>

<file path=customXml/itemProps3.xml><?xml version="1.0" encoding="utf-8"?>
<ds:datastoreItem xmlns:ds="http://schemas.openxmlformats.org/officeDocument/2006/customXml" ds:itemID="{3E4BF818-6AAF-46EF-A041-DAAB57E19D77}">
  <ds:schemaRefs>
    <ds:schemaRef ds:uri="http://schemas.microsoft.com/office/2006/metadata/properties"/>
    <ds:schemaRef ds:uri="http://schemas.microsoft.com/office/infopath/2007/PartnerControls"/>
    <ds:schemaRef ds:uri="5a3e2baa-b2d4-4c01-984d-67f701d048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5514</Characters>
  <Application>Microsoft Office Word</Application>
  <DocSecurity>0</DocSecurity>
  <Lines>45</Lines>
  <Paragraphs>12</Paragraphs>
  <ScaleCrop>false</ScaleCrop>
  <Company>Imperial College London</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Martin, Malcolm J</cp:lastModifiedBy>
  <cp:revision>27</cp:revision>
  <dcterms:created xsi:type="dcterms:W3CDTF">2018-04-11T12:37:00Z</dcterms:created>
  <dcterms:modified xsi:type="dcterms:W3CDTF">2019-10-16T12:43:00Z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y fmtid="{D5CDD505-2E9C-101B-9397-08002B2CF9AE}" pid="3" name="Order">
    <vt:r8>2357700</vt:r8>
  </property>
  <property fmtid="{D5CDD505-2E9C-101B-9397-08002B2CF9AE}" pid="4" name="ComplianceAssetId">
    <vt:lpwstr/>
  </property>
</Properties>
</file>