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0802ED" w:rsidP="00B873EB" w:rsidRDefault="00B873EB" w14:paraId="66F95105" w14:textId="77777777">
      <w:pPr>
        <w:jc w:val="center"/>
      </w:pPr>
      <w:r w:rsidRPr="00FE5124">
        <w:rPr>
          <w:rFonts w:ascii="Arial" w:hAnsi="Arial" w:cs="Arial"/>
          <w:noProof/>
          <w:lang w:eastAsia="en-GB"/>
        </w:rPr>
        <w:drawing>
          <wp:inline distT="0" distB="0" distL="0" distR="0" wp14:anchorId="66F9511D" wp14:editId="66F9511E">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5"/>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rsidR="00B873EB" w:rsidP="00B873EB" w:rsidRDefault="00B873EB" w14:paraId="66F95106" w14:textId="77777777">
      <w:pPr>
        <w:pStyle w:val="Default"/>
      </w:pPr>
    </w:p>
    <w:p w:rsidR="00B873EB" w:rsidP="00B873EB" w:rsidRDefault="00B873EB" w14:paraId="66F95108" w14:textId="780E5921">
      <w:pPr>
        <w:jc w:val="center"/>
        <w:rPr>
          <w:b/>
          <w:bCs/>
          <w:sz w:val="28"/>
          <w:szCs w:val="28"/>
        </w:rPr>
      </w:pPr>
      <w:r>
        <w:t xml:space="preserve"> </w:t>
      </w:r>
      <w:r>
        <w:rPr>
          <w:b/>
          <w:bCs/>
          <w:sz w:val="28"/>
          <w:szCs w:val="28"/>
        </w:rPr>
        <w:t xml:space="preserve">Imperial College Union </w:t>
      </w:r>
      <w:r w:rsidR="00D7307B">
        <w:rPr>
          <w:b/>
          <w:bCs/>
          <w:sz w:val="28"/>
          <w:szCs w:val="28"/>
        </w:rPr>
        <w:t>Board</w:t>
      </w:r>
      <w:r w:rsidR="00B10D7E">
        <w:rPr>
          <w:b/>
          <w:bCs/>
          <w:sz w:val="28"/>
          <w:szCs w:val="28"/>
        </w:rPr>
        <w:t xml:space="preserve"> of Trustees</w:t>
      </w:r>
    </w:p>
    <w:p w:rsidR="00B873EB" w:rsidP="00B873EB" w:rsidRDefault="00784722" w14:paraId="66F95109" w14:textId="5936D2B1">
      <w:pPr>
        <w:jc w:val="center"/>
        <w:rPr>
          <w:b/>
          <w:bCs/>
          <w:color w:val="FF0000"/>
          <w:sz w:val="28"/>
          <w:szCs w:val="28"/>
        </w:rPr>
      </w:pPr>
      <w:r>
        <w:rPr>
          <w:b/>
          <w:bCs/>
          <w:color w:val="FF0000"/>
          <w:sz w:val="28"/>
          <w:szCs w:val="28"/>
        </w:rPr>
        <w:t>30 October 2019</w:t>
      </w:r>
    </w:p>
    <w:tbl>
      <w:tblPr>
        <w:tblStyle w:val="TableGrid"/>
        <w:tblW w:w="0" w:type="auto"/>
        <w:tblLook w:val="04A0" w:firstRow="1" w:lastRow="0" w:firstColumn="1" w:lastColumn="0" w:noHBand="0" w:noVBand="1"/>
      </w:tblPr>
      <w:tblGrid>
        <w:gridCol w:w="4448"/>
        <w:gridCol w:w="4448"/>
      </w:tblGrid>
      <w:tr w:rsidR="00B873EB" w:rsidTr="00B873EB" w14:paraId="66F9510C" w14:textId="77777777">
        <w:trPr>
          <w:trHeight w:val="902"/>
        </w:trPr>
        <w:tc>
          <w:tcPr>
            <w:tcW w:w="4448" w:type="dxa"/>
          </w:tcPr>
          <w:p w:rsidRPr="00B873EB" w:rsidR="00B873EB" w:rsidP="00B873EB" w:rsidRDefault="00B873EB" w14:paraId="66F9510A" w14:textId="77777777">
            <w:pPr>
              <w:rPr>
                <w:b/>
                <w:color w:val="FF0000"/>
                <w:sz w:val="28"/>
                <w:szCs w:val="28"/>
              </w:rPr>
            </w:pPr>
            <w:r w:rsidRPr="00B873EB">
              <w:rPr>
                <w:b/>
                <w:color w:val="000000" w:themeColor="text1"/>
                <w:sz w:val="28"/>
                <w:szCs w:val="28"/>
              </w:rPr>
              <w:t>AGENDA ITEM NO.</w:t>
            </w:r>
          </w:p>
        </w:tc>
        <w:tc>
          <w:tcPr>
            <w:tcW w:w="4448" w:type="dxa"/>
          </w:tcPr>
          <w:p w:rsidR="00B873EB" w:rsidP="00B873EB" w:rsidRDefault="00784722" w14:paraId="4585C5DC" w14:textId="77777777">
            <w:pPr>
              <w:jc w:val="center"/>
            </w:pPr>
            <w:r w:rsidRPr="000254E3">
              <w:t xml:space="preserve">Item 10 </w:t>
            </w:r>
          </w:p>
          <w:p w:rsidR="001F370D" w:rsidP="00B873EB" w:rsidRDefault="001F370D" w14:paraId="66F9510B" w14:textId="141DC9E9">
            <w:pPr>
              <w:jc w:val="center"/>
              <w:rPr>
                <w:color w:val="FF0000"/>
              </w:rPr>
            </w:pPr>
            <w:r>
              <w:t>(</w:t>
            </w:r>
            <w:r w:rsidR="00C6109E">
              <w:t>Addendum</w:t>
            </w:r>
            <w:bookmarkStart w:name="_GoBack" w:id="0"/>
            <w:bookmarkEnd w:id="0"/>
            <w:r>
              <w:t xml:space="preserve"> to Finance and Risk minutes)</w:t>
            </w:r>
          </w:p>
        </w:tc>
      </w:tr>
      <w:tr w:rsidR="00B873EB" w:rsidTr="00B873EB" w14:paraId="66F9510F" w14:textId="77777777">
        <w:trPr>
          <w:trHeight w:val="943"/>
        </w:trPr>
        <w:tc>
          <w:tcPr>
            <w:tcW w:w="4448" w:type="dxa"/>
          </w:tcPr>
          <w:p w:rsidRPr="00B873EB" w:rsidR="00B873EB" w:rsidP="00B873EB" w:rsidRDefault="00B873EB" w14:paraId="66F9510D" w14:textId="77777777">
            <w:pPr>
              <w:rPr>
                <w:b/>
                <w:color w:val="000000" w:themeColor="text1"/>
                <w:sz w:val="28"/>
                <w:szCs w:val="28"/>
              </w:rPr>
            </w:pPr>
            <w:r w:rsidRPr="00B873EB">
              <w:rPr>
                <w:b/>
                <w:color w:val="000000" w:themeColor="text1"/>
                <w:sz w:val="28"/>
                <w:szCs w:val="28"/>
              </w:rPr>
              <w:t>TITLE</w:t>
            </w:r>
          </w:p>
        </w:tc>
        <w:tc>
          <w:tcPr>
            <w:tcW w:w="4448" w:type="dxa"/>
          </w:tcPr>
          <w:p w:rsidR="00B873EB" w:rsidP="00B873EB" w:rsidRDefault="00113632" w14:paraId="66F9510E" w14:textId="52F49229">
            <w:pPr>
              <w:jc w:val="center"/>
              <w:rPr>
                <w:color w:val="FF0000"/>
              </w:rPr>
            </w:pPr>
            <w:r w:rsidRPr="000254E3">
              <w:t xml:space="preserve">Update on </w:t>
            </w:r>
            <w:r w:rsidRPr="000254E3" w:rsidR="00784722">
              <w:t>Internal Audit Recommendations</w:t>
            </w:r>
          </w:p>
        </w:tc>
      </w:tr>
      <w:tr w:rsidR="00B873EB" w:rsidTr="00B873EB" w14:paraId="66F95112" w14:textId="77777777">
        <w:trPr>
          <w:trHeight w:val="902"/>
        </w:trPr>
        <w:tc>
          <w:tcPr>
            <w:tcW w:w="4448" w:type="dxa"/>
          </w:tcPr>
          <w:p w:rsidRPr="00B873EB" w:rsidR="00B873EB" w:rsidP="00B873EB" w:rsidRDefault="00B873EB" w14:paraId="66F95110" w14:textId="77777777">
            <w:pPr>
              <w:rPr>
                <w:b/>
                <w:color w:val="000000" w:themeColor="text1"/>
                <w:sz w:val="28"/>
                <w:szCs w:val="28"/>
              </w:rPr>
            </w:pPr>
            <w:r w:rsidRPr="00B873EB">
              <w:rPr>
                <w:b/>
                <w:color w:val="000000" w:themeColor="text1"/>
                <w:sz w:val="28"/>
                <w:szCs w:val="28"/>
              </w:rPr>
              <w:t>AUTHOR</w:t>
            </w:r>
          </w:p>
        </w:tc>
        <w:tc>
          <w:tcPr>
            <w:tcW w:w="4448" w:type="dxa"/>
          </w:tcPr>
          <w:p w:rsidR="00B873EB" w:rsidP="00B873EB" w:rsidRDefault="00113632" w14:paraId="66F95111" w14:textId="36622078">
            <w:pPr>
              <w:jc w:val="center"/>
              <w:rPr>
                <w:color w:val="FF0000"/>
              </w:rPr>
            </w:pPr>
            <w:r w:rsidRPr="000254E3">
              <w:t>Malcolm Martin</w:t>
            </w:r>
            <w:r>
              <w:rPr>
                <w:color w:val="FF0000"/>
              </w:rPr>
              <w:t xml:space="preserve"> </w:t>
            </w:r>
          </w:p>
        </w:tc>
      </w:tr>
      <w:tr w:rsidR="00B873EB" w:rsidTr="00B873EB" w14:paraId="66F95115" w14:textId="77777777">
        <w:trPr>
          <w:trHeight w:val="943"/>
        </w:trPr>
        <w:tc>
          <w:tcPr>
            <w:tcW w:w="4448" w:type="dxa"/>
          </w:tcPr>
          <w:p w:rsidRPr="00B873EB" w:rsidR="00B873EB" w:rsidP="00B873EB" w:rsidRDefault="00B873EB" w14:paraId="66F95113" w14:textId="77777777">
            <w:pPr>
              <w:rPr>
                <w:b/>
                <w:color w:val="000000" w:themeColor="text1"/>
                <w:sz w:val="28"/>
                <w:szCs w:val="28"/>
              </w:rPr>
            </w:pPr>
            <w:r w:rsidRPr="00B873EB">
              <w:rPr>
                <w:b/>
                <w:color w:val="000000" w:themeColor="text1"/>
                <w:sz w:val="28"/>
                <w:szCs w:val="28"/>
              </w:rPr>
              <w:t>EXECUTIVE SUMMARY</w:t>
            </w:r>
          </w:p>
        </w:tc>
        <w:tc>
          <w:tcPr>
            <w:tcW w:w="4448" w:type="dxa"/>
          </w:tcPr>
          <w:p w:rsidR="00B873EB" w:rsidP="007A7CC3" w:rsidRDefault="007A7CC3" w14:paraId="2FB6F376" w14:textId="77777777">
            <w:r w:rsidRPr="007A7CC3">
              <w:t>This paper provides an update on the June 2019 internal audit re</w:t>
            </w:r>
            <w:r>
              <w:t>port</w:t>
            </w:r>
            <w:r w:rsidR="009F167A">
              <w:t xml:space="preserve">. </w:t>
            </w:r>
          </w:p>
          <w:p w:rsidR="009F167A" w:rsidP="007A7CC3" w:rsidRDefault="009F167A" w14:paraId="50CBF7D3" w14:textId="77777777"/>
          <w:p w:rsidR="009F167A" w:rsidP="007A7CC3" w:rsidRDefault="009F167A" w14:paraId="66F95114" w14:textId="521937D8">
            <w:pPr>
              <w:rPr>
                <w:color w:val="FF0000"/>
              </w:rPr>
            </w:pPr>
            <w:r>
              <w:t>From the 10 recommendations raised by KPMG in June 2019 only 3 are currently outstanding in</w:t>
            </w:r>
            <w:r w:rsidR="006F49E7">
              <w:t xml:space="preserve"> </w:t>
            </w:r>
            <w:r>
              <w:t xml:space="preserve">line with the due dates stated in the </w:t>
            </w:r>
            <w:r w:rsidR="006F49E7">
              <w:t xml:space="preserve">original </w:t>
            </w:r>
            <w:r>
              <w:t xml:space="preserve">report. </w:t>
            </w:r>
          </w:p>
        </w:tc>
      </w:tr>
      <w:tr w:rsidR="00B873EB" w:rsidTr="00B873EB" w14:paraId="66F95118" w14:textId="77777777">
        <w:trPr>
          <w:trHeight w:val="902"/>
        </w:trPr>
        <w:tc>
          <w:tcPr>
            <w:tcW w:w="4448" w:type="dxa"/>
          </w:tcPr>
          <w:p w:rsidRPr="00B873EB" w:rsidR="00B873EB" w:rsidP="00B873EB" w:rsidRDefault="00B873EB" w14:paraId="66F95116" w14:textId="77777777">
            <w:pPr>
              <w:rPr>
                <w:b/>
                <w:color w:val="000000" w:themeColor="text1"/>
                <w:sz w:val="28"/>
                <w:szCs w:val="28"/>
              </w:rPr>
            </w:pPr>
            <w:r w:rsidRPr="00B873EB">
              <w:rPr>
                <w:b/>
                <w:color w:val="000000" w:themeColor="text1"/>
                <w:sz w:val="28"/>
                <w:szCs w:val="28"/>
              </w:rPr>
              <w:t>PURPOSE</w:t>
            </w:r>
          </w:p>
        </w:tc>
        <w:tc>
          <w:tcPr>
            <w:tcW w:w="4448" w:type="dxa"/>
          </w:tcPr>
          <w:p w:rsidR="00B873EB" w:rsidP="00380CC4" w:rsidRDefault="00380CC4" w14:paraId="66F95117" w14:textId="69720320">
            <w:pPr>
              <w:rPr>
                <w:color w:val="FF0000"/>
              </w:rPr>
            </w:pPr>
            <w:r w:rsidRPr="00380CC4">
              <w:t xml:space="preserve">To provide assurance as to the effectiveness of the </w:t>
            </w:r>
            <w:r w:rsidR="00F366F2">
              <w:t xml:space="preserve">internal </w:t>
            </w:r>
            <w:r w:rsidRPr="00380CC4">
              <w:t>control</w:t>
            </w:r>
            <w:r w:rsidR="00F366F2">
              <w:t>s.</w:t>
            </w:r>
          </w:p>
        </w:tc>
      </w:tr>
      <w:tr w:rsidR="00B873EB" w:rsidTr="00B873EB" w14:paraId="66F9511B" w14:textId="77777777">
        <w:trPr>
          <w:trHeight w:val="902"/>
        </w:trPr>
        <w:tc>
          <w:tcPr>
            <w:tcW w:w="4448" w:type="dxa"/>
          </w:tcPr>
          <w:p w:rsidRPr="00B873EB" w:rsidR="00B873EB" w:rsidP="00B873EB" w:rsidRDefault="00B873EB" w14:paraId="66F95119" w14:textId="77777777">
            <w:pPr>
              <w:rPr>
                <w:b/>
                <w:color w:val="000000" w:themeColor="text1"/>
                <w:sz w:val="28"/>
                <w:szCs w:val="28"/>
              </w:rPr>
            </w:pPr>
            <w:r w:rsidRPr="00B873EB">
              <w:rPr>
                <w:b/>
                <w:color w:val="000000" w:themeColor="text1"/>
                <w:sz w:val="28"/>
                <w:szCs w:val="28"/>
              </w:rPr>
              <w:t>DECISION/ACTION REQUIRED</w:t>
            </w:r>
          </w:p>
        </w:tc>
        <w:tc>
          <w:tcPr>
            <w:tcW w:w="4448" w:type="dxa"/>
          </w:tcPr>
          <w:p w:rsidR="00B873EB" w:rsidP="006F49E7" w:rsidRDefault="006F49E7" w14:paraId="66F9511A" w14:textId="765F9645">
            <w:pPr>
              <w:rPr>
                <w:color w:val="FF0000"/>
              </w:rPr>
            </w:pPr>
            <w:r w:rsidRPr="006F49E7">
              <w:t>For information</w:t>
            </w:r>
          </w:p>
        </w:tc>
      </w:tr>
    </w:tbl>
    <w:p w:rsidR="00B873EB" w:rsidP="00B873EB" w:rsidRDefault="00B873EB" w14:paraId="66F9511C" w14:textId="6D845A15">
      <w:pPr>
        <w:jc w:val="center"/>
        <w:rPr>
          <w:color w:val="FF0000"/>
        </w:rPr>
      </w:pPr>
    </w:p>
    <w:p w:rsidR="00113632" w:rsidP="00B873EB" w:rsidRDefault="00113632" w14:paraId="0980C434" w14:textId="2BF3BA03">
      <w:pPr>
        <w:jc w:val="center"/>
        <w:rPr>
          <w:color w:val="FF0000"/>
        </w:rPr>
      </w:pPr>
    </w:p>
    <w:p w:rsidR="00556FB6" w:rsidP="00B873EB" w:rsidRDefault="00556FB6" w14:paraId="4033C4A1" w14:textId="75624F79">
      <w:pPr>
        <w:jc w:val="center"/>
        <w:rPr>
          <w:color w:val="FF0000"/>
        </w:rPr>
      </w:pPr>
      <w:r>
        <w:rPr>
          <w:color w:val="FF0000"/>
        </w:rPr>
        <w:br w:type="page"/>
      </w:r>
    </w:p>
    <w:p w:rsidRPr="006F20F5" w:rsidR="00113632" w:rsidP="000254E3" w:rsidRDefault="00556FB6" w14:paraId="578FBAC9" w14:textId="1D52F082">
      <w:pPr>
        <w:spacing w:after="0" w:line="240" w:lineRule="auto"/>
        <w:rPr>
          <w:sz w:val="24"/>
        </w:rPr>
      </w:pPr>
      <w:r w:rsidRPr="006F20F5">
        <w:rPr>
          <w:sz w:val="24"/>
        </w:rPr>
        <w:lastRenderedPageBreak/>
        <w:t>Introduction</w:t>
      </w:r>
    </w:p>
    <w:p w:rsidR="002756BF" w:rsidP="0036771E" w:rsidRDefault="00D310FF" w14:paraId="4AA8833A" w14:textId="77D31CB7">
      <w:pPr>
        <w:spacing w:after="0"/>
      </w:pPr>
      <w:r w:rsidRPr="000254E3">
        <w:t>Th</w:t>
      </w:r>
      <w:r w:rsidR="000254E3">
        <w:t>is</w:t>
      </w:r>
      <w:r w:rsidRPr="000254E3">
        <w:t xml:space="preserve"> paper provides a brief update on the Internal Audit </w:t>
      </w:r>
      <w:r w:rsidR="00B42B55">
        <w:t>r</w:t>
      </w:r>
      <w:r w:rsidRPr="000254E3">
        <w:t>ecommendation</w:t>
      </w:r>
      <w:r w:rsidR="00897A34">
        <w:t>s</w:t>
      </w:r>
      <w:r w:rsidR="00B42B55">
        <w:t xml:space="preserve"> following the KPMG Internal Report issued in June 2019. </w:t>
      </w:r>
    </w:p>
    <w:p w:rsidR="00D82745" w:rsidP="0036771E" w:rsidRDefault="00D82745" w14:paraId="79019A41" w14:textId="77777777">
      <w:pPr>
        <w:spacing w:after="0"/>
      </w:pPr>
    </w:p>
    <w:p w:rsidR="00B42B55" w:rsidP="005653D1" w:rsidRDefault="0036771E" w14:paraId="020A6F3F" w14:textId="11F63087">
      <w:pPr>
        <w:spacing w:after="0"/>
      </w:pPr>
      <w:r w:rsidRPr="0036771E">
        <w:t>The annual Internal Audit review took place at the end of March 2019.  An initial and comprehensive response was presented to the May 2019 Board by the Managing Director which covered a significant range of issues from the role of bar operations manuals, procurement processes, stock control, health and safety to financial controls and standard operating procedures.  </w:t>
      </w:r>
    </w:p>
    <w:p w:rsidR="0036771E" w:rsidP="0036771E" w:rsidRDefault="0036771E" w14:paraId="2CB06C28" w14:textId="77777777">
      <w:pPr>
        <w:spacing w:after="0" w:line="240" w:lineRule="auto"/>
      </w:pPr>
    </w:p>
    <w:p w:rsidR="002756BF" w:rsidP="005653D1" w:rsidRDefault="00C70A82" w14:paraId="46247EBD" w14:textId="69985C0C">
      <w:pPr>
        <w:spacing w:after="0"/>
      </w:pPr>
      <w:r>
        <w:t xml:space="preserve">Dean </w:t>
      </w:r>
      <w:r w:rsidR="007E4AA4">
        <w:t>Gibbs, KPMG Partne</w:t>
      </w:r>
      <w:r w:rsidR="00FE11E6">
        <w:t xml:space="preserve">r, </w:t>
      </w:r>
      <w:r w:rsidR="005653D1">
        <w:t xml:space="preserve">attended </w:t>
      </w:r>
      <w:r w:rsidR="00417277">
        <w:t xml:space="preserve">the </w:t>
      </w:r>
      <w:r w:rsidR="007E4AA4">
        <w:t xml:space="preserve">June </w:t>
      </w:r>
      <w:r w:rsidR="00417277">
        <w:t xml:space="preserve">2019 </w:t>
      </w:r>
      <w:r w:rsidR="007E4AA4">
        <w:t>Fina</w:t>
      </w:r>
      <w:r w:rsidR="00FE11E6">
        <w:t>nce and Risk Committee</w:t>
      </w:r>
      <w:r w:rsidR="00417277">
        <w:t xml:space="preserve"> and walked through the 10 reco</w:t>
      </w:r>
      <w:r w:rsidR="006F52B8">
        <w:t>mmendations</w:t>
      </w:r>
      <w:r w:rsidR="00973209">
        <w:t xml:space="preserve">, 1 was </w:t>
      </w:r>
      <w:r w:rsidR="000B1037">
        <w:t xml:space="preserve">classified as high </w:t>
      </w:r>
      <w:r w:rsidR="007247F0">
        <w:t>priority</w:t>
      </w:r>
      <w:r w:rsidR="000B1037">
        <w:t>,</w:t>
      </w:r>
      <w:r w:rsidR="007247F0">
        <w:t xml:space="preserve"> </w:t>
      </w:r>
      <w:r w:rsidR="0012710B">
        <w:t xml:space="preserve">4 as medium priority and 5 as low priority. </w:t>
      </w:r>
      <w:r w:rsidR="000B1037">
        <w:t xml:space="preserve">  </w:t>
      </w:r>
    </w:p>
    <w:p w:rsidR="00FE11E6" w:rsidP="000254E3" w:rsidRDefault="00FE11E6" w14:paraId="1B92DECA" w14:textId="77777777"/>
    <w:p w:rsidRPr="006F20F5" w:rsidR="00B71C83" w:rsidP="008D1198" w:rsidRDefault="006268DA" w14:paraId="68B709D0" w14:textId="6DC8A3B4">
      <w:pPr>
        <w:rPr>
          <w:sz w:val="24"/>
        </w:rPr>
      </w:pPr>
      <w:r w:rsidRPr="006F20F5">
        <w:rPr>
          <w:sz w:val="24"/>
        </w:rPr>
        <w:t>Update</w:t>
      </w:r>
    </w:p>
    <w:p w:rsidR="006237F8" w:rsidP="008D1198" w:rsidRDefault="006237F8" w14:paraId="453D34B7" w14:textId="16089E4D">
      <w:r>
        <w:t xml:space="preserve">Only items </w:t>
      </w:r>
      <w:r w:rsidR="00861503">
        <w:t xml:space="preserve">5, </w:t>
      </w:r>
      <w:r w:rsidR="00D63532">
        <w:t xml:space="preserve">8, </w:t>
      </w:r>
      <w:r w:rsidR="006F20F5">
        <w:t xml:space="preserve">and </w:t>
      </w:r>
      <w:r w:rsidR="00861503">
        <w:t>9</w:t>
      </w:r>
      <w:r w:rsidR="006F20F5">
        <w:t xml:space="preserve"> remain outstanding.</w:t>
      </w:r>
    </w:p>
    <w:tbl>
      <w:tblPr>
        <w:tblStyle w:val="TableGrid"/>
        <w:tblW w:w="0" w:type="auto"/>
        <w:tblLook w:val="04A0" w:firstRow="1" w:lastRow="0" w:firstColumn="1" w:lastColumn="0" w:noHBand="0" w:noVBand="1"/>
      </w:tblPr>
      <w:tblGrid>
        <w:gridCol w:w="4508"/>
        <w:gridCol w:w="4508"/>
      </w:tblGrid>
      <w:tr w:rsidR="0018722E" w:rsidTr="5BCC6DA9" w14:paraId="5B8AC623" w14:textId="77777777">
        <w:tc>
          <w:tcPr>
            <w:tcW w:w="4508" w:type="dxa"/>
            <w:tcMar/>
          </w:tcPr>
          <w:p w:rsidR="0018722E" w:rsidP="008D1198" w:rsidRDefault="0018722E" w14:paraId="0D70415E" w14:textId="1EF400AD">
            <w:r>
              <w:t xml:space="preserve">Recommendation </w:t>
            </w:r>
          </w:p>
        </w:tc>
        <w:tc>
          <w:tcPr>
            <w:tcW w:w="4508" w:type="dxa"/>
            <w:tcMar/>
          </w:tcPr>
          <w:p w:rsidR="0018722E" w:rsidP="008D1198" w:rsidRDefault="0018722E" w14:paraId="26887204" w14:textId="7C50FBDE">
            <w:r>
              <w:t>Update</w:t>
            </w:r>
            <w:r w:rsidR="00B26F90">
              <w:t xml:space="preserve"> on recommendation</w:t>
            </w:r>
          </w:p>
        </w:tc>
      </w:tr>
      <w:tr w:rsidR="0018722E" w:rsidTr="5BCC6DA9" w14:paraId="0A7A576A" w14:textId="77777777">
        <w:tc>
          <w:tcPr>
            <w:tcW w:w="4508" w:type="dxa"/>
            <w:tcMar/>
          </w:tcPr>
          <w:p w:rsidR="0018722E" w:rsidP="002A3B99" w:rsidRDefault="002A3B99" w14:paraId="75E01FE0" w14:textId="1DB5476B">
            <w:r>
              <w:t xml:space="preserve">No 1 </w:t>
            </w:r>
            <w:r w:rsidR="005479AF">
              <w:t xml:space="preserve">(high) </w:t>
            </w:r>
            <w:r w:rsidR="0018722E">
              <w:t xml:space="preserve">Supervisor access codes </w:t>
            </w:r>
          </w:p>
        </w:tc>
        <w:tc>
          <w:tcPr>
            <w:tcW w:w="4508" w:type="dxa"/>
            <w:tcMar/>
          </w:tcPr>
          <w:p w:rsidR="0018722E" w:rsidP="008D1198" w:rsidRDefault="003C102A" w14:paraId="3233DB8C" w14:textId="6528248F">
            <w:r>
              <w:t>Complete</w:t>
            </w:r>
            <w:r w:rsidR="008D0F84">
              <w:t>d</w:t>
            </w:r>
            <w:r>
              <w:t xml:space="preserve"> by time report was issued</w:t>
            </w:r>
          </w:p>
        </w:tc>
      </w:tr>
      <w:tr w:rsidR="0018722E" w:rsidTr="5BCC6DA9" w14:paraId="1C1AA4D8" w14:textId="77777777">
        <w:tc>
          <w:tcPr>
            <w:tcW w:w="4508" w:type="dxa"/>
            <w:tcMar/>
          </w:tcPr>
          <w:p w:rsidR="0018722E" w:rsidP="002A3B99" w:rsidRDefault="002A3B99" w14:paraId="127830E9" w14:textId="33E0C30C">
            <w:r>
              <w:t xml:space="preserve">No 2 (medium) </w:t>
            </w:r>
            <w:r w:rsidR="003C102A">
              <w:t xml:space="preserve">Bar till reconciliation </w:t>
            </w:r>
          </w:p>
        </w:tc>
        <w:tc>
          <w:tcPr>
            <w:tcW w:w="4508" w:type="dxa"/>
            <w:tcMar/>
          </w:tcPr>
          <w:p w:rsidR="0018722E" w:rsidP="008D1198" w:rsidRDefault="00B26F90" w14:paraId="27F9255A" w14:textId="500F7B08">
            <w:r>
              <w:t>Complete</w:t>
            </w:r>
            <w:r w:rsidR="008D0F84">
              <w:t>d</w:t>
            </w:r>
            <w:r>
              <w:t xml:space="preserve"> by time report was issued</w:t>
            </w:r>
            <w:r>
              <w:t xml:space="preserve"> with</w:t>
            </w:r>
            <w:r w:rsidR="00ED6F54">
              <w:t xml:space="preserve"> </w:t>
            </w:r>
            <w:r w:rsidR="00A91DF3">
              <w:t>a</w:t>
            </w:r>
            <w:r w:rsidR="00541CDA">
              <w:t xml:space="preserve"> petty review presented at F&amp;R in June 19</w:t>
            </w:r>
          </w:p>
        </w:tc>
      </w:tr>
      <w:tr w:rsidR="0018722E" w:rsidTr="5BCC6DA9" w14:paraId="397C1B65" w14:textId="77777777">
        <w:tc>
          <w:tcPr>
            <w:tcW w:w="4508" w:type="dxa"/>
            <w:tcMar/>
          </w:tcPr>
          <w:p w:rsidR="0018722E" w:rsidP="002A3B99" w:rsidRDefault="002A3B99" w14:paraId="4532C052" w14:textId="5430B749">
            <w:r>
              <w:t xml:space="preserve">No 3 (medium) </w:t>
            </w:r>
            <w:r w:rsidR="00ED6F54">
              <w:t xml:space="preserve">Float procedures </w:t>
            </w:r>
          </w:p>
        </w:tc>
        <w:tc>
          <w:tcPr>
            <w:tcW w:w="4508" w:type="dxa"/>
            <w:tcMar/>
          </w:tcPr>
          <w:p w:rsidR="0018722E" w:rsidP="008D1198" w:rsidRDefault="008D0F84" w14:paraId="4708D910" w14:textId="395066A6">
            <w:r>
              <w:t>Completed</w:t>
            </w:r>
            <w:r w:rsidR="00934BD8">
              <w:t xml:space="preserve"> by time report was issued</w:t>
            </w:r>
            <w:r w:rsidR="00934BD8">
              <w:t xml:space="preserve"> and float levels have been reduced</w:t>
            </w:r>
          </w:p>
        </w:tc>
      </w:tr>
      <w:tr w:rsidR="0018722E" w:rsidTr="5BCC6DA9" w14:paraId="68354D1C" w14:textId="77777777">
        <w:tc>
          <w:tcPr>
            <w:tcW w:w="4508" w:type="dxa"/>
            <w:tcMar/>
          </w:tcPr>
          <w:p w:rsidR="0018722E" w:rsidP="002A3B99" w:rsidRDefault="002A3B99" w14:paraId="6933D0B3" w14:textId="26D1E6A3">
            <w:r>
              <w:t xml:space="preserve">No 4 (medium) </w:t>
            </w:r>
            <w:r w:rsidR="003E551A">
              <w:t>Alignment of business planning to strategy</w:t>
            </w:r>
          </w:p>
        </w:tc>
        <w:tc>
          <w:tcPr>
            <w:tcW w:w="4508" w:type="dxa"/>
            <w:tcMar/>
          </w:tcPr>
          <w:p w:rsidR="0018722E" w:rsidP="008D1198" w:rsidRDefault="008D0F84" w14:paraId="03DA4929" w14:textId="75443233">
            <w:r>
              <w:t>Completed</w:t>
            </w:r>
            <w:r w:rsidR="00D96E8A">
              <w:t xml:space="preserve"> by time report was issued</w:t>
            </w:r>
          </w:p>
        </w:tc>
      </w:tr>
      <w:tr w:rsidR="0018722E" w:rsidTr="5BCC6DA9" w14:paraId="2DC74A75" w14:textId="77777777">
        <w:tc>
          <w:tcPr>
            <w:tcW w:w="4508" w:type="dxa"/>
            <w:tcMar/>
          </w:tcPr>
          <w:p w:rsidR="0018722E" w:rsidP="002A3B99" w:rsidRDefault="002A3B99" w14:paraId="5FDC133F" w14:textId="396A9AD7">
            <w:r>
              <w:t xml:space="preserve">No 5 (medium) </w:t>
            </w:r>
            <w:r w:rsidRPr="00EB646D" w:rsidR="00EB646D">
              <w:t>Business case requirements</w:t>
            </w:r>
            <w:r w:rsidR="00BC4DE7">
              <w:t xml:space="preserve"> &amp; financial procedures </w:t>
            </w:r>
          </w:p>
        </w:tc>
        <w:tc>
          <w:tcPr>
            <w:tcW w:w="4508" w:type="dxa"/>
            <w:tcMar/>
          </w:tcPr>
          <w:p w:rsidR="00C21EE4" w:rsidP="008D1198" w:rsidRDefault="00C21EE4" w14:paraId="6736DF48" w14:textId="67E50D5C">
            <w:r w:rsidR="5BCC6DA9">
              <w:rPr/>
              <w:t>Partially completed as summary papers are now presented at Leadership to aid decisions,</w:t>
            </w:r>
          </w:p>
          <w:p w:rsidR="0018722E" w:rsidP="00EA6EBF" w:rsidRDefault="00C21EE4" w14:paraId="18DB3D31" w14:textId="09CF5B65">
            <w:r>
              <w:t xml:space="preserve">However, the review of </w:t>
            </w:r>
            <w:r w:rsidR="00EA6EBF">
              <w:t>the financial procedures is d</w:t>
            </w:r>
            <w:r w:rsidR="00EB646D">
              <w:t xml:space="preserve">ue </w:t>
            </w:r>
            <w:r w:rsidR="00EA6EBF">
              <w:t xml:space="preserve">by </w:t>
            </w:r>
            <w:r w:rsidR="00EB646D">
              <w:t>28 February</w:t>
            </w:r>
            <w:r w:rsidR="00EA6EBF">
              <w:t xml:space="preserve"> 2020</w:t>
            </w:r>
          </w:p>
        </w:tc>
      </w:tr>
      <w:tr w:rsidR="0018722E" w:rsidTr="5BCC6DA9" w14:paraId="16AA7502" w14:textId="77777777">
        <w:tc>
          <w:tcPr>
            <w:tcW w:w="4508" w:type="dxa"/>
            <w:tcMar/>
          </w:tcPr>
          <w:p w:rsidR="0018722E" w:rsidP="008D1198" w:rsidRDefault="00562938" w14:paraId="5180332F" w14:textId="0DA96E1A">
            <w:r>
              <w:t xml:space="preserve">No 6 (low) </w:t>
            </w:r>
            <w:r w:rsidRPr="00562938">
              <w:t>Staff guidance and training</w:t>
            </w:r>
          </w:p>
        </w:tc>
        <w:tc>
          <w:tcPr>
            <w:tcW w:w="4508" w:type="dxa"/>
            <w:tcMar/>
          </w:tcPr>
          <w:p w:rsidR="0018722E" w:rsidP="008D1198" w:rsidRDefault="00D94818" w14:paraId="51BD380A" w14:textId="77777777">
            <w:r>
              <w:t xml:space="preserve">Revised </w:t>
            </w:r>
            <w:r w:rsidR="00562938">
              <w:t xml:space="preserve">Standard Operating Procedures </w:t>
            </w:r>
            <w:r>
              <w:t xml:space="preserve">(SOP’s) </w:t>
            </w:r>
            <w:r w:rsidR="00562938">
              <w:t xml:space="preserve">were </w:t>
            </w:r>
            <w:r>
              <w:t xml:space="preserve">circulated to F&amp;R shortly after </w:t>
            </w:r>
            <w:r w:rsidR="00A809AA">
              <w:t xml:space="preserve">June 2019 meeting and were noted in the minutes in the October 2019 meeting. </w:t>
            </w:r>
          </w:p>
          <w:p w:rsidR="00A809AA" w:rsidP="008D1198" w:rsidRDefault="00A809AA" w14:paraId="35A58720" w14:textId="77777777"/>
          <w:p w:rsidR="005E0D5D" w:rsidP="008D1198" w:rsidRDefault="005E0D5D" w14:paraId="3E387342" w14:textId="38AB55AB">
            <w:r>
              <w:t>This has now been completed</w:t>
            </w:r>
          </w:p>
        </w:tc>
      </w:tr>
      <w:tr w:rsidR="0018722E" w:rsidTr="5BCC6DA9" w14:paraId="0BA200E7" w14:textId="77777777">
        <w:tc>
          <w:tcPr>
            <w:tcW w:w="4508" w:type="dxa"/>
            <w:tcMar/>
          </w:tcPr>
          <w:p w:rsidR="0018722E" w:rsidP="008D1198" w:rsidRDefault="005E0D5D" w14:paraId="245792E3" w14:textId="466B6ED1">
            <w:r>
              <w:t xml:space="preserve">N0 7 (low) </w:t>
            </w:r>
            <w:r w:rsidR="009E3B12">
              <w:t>Template Business Case</w:t>
            </w:r>
          </w:p>
        </w:tc>
        <w:tc>
          <w:tcPr>
            <w:tcW w:w="4508" w:type="dxa"/>
            <w:tcMar/>
          </w:tcPr>
          <w:p w:rsidR="0018722E" w:rsidP="008D1198" w:rsidRDefault="007E4E82" w14:paraId="4EAADB0A" w14:textId="7EF1C722">
            <w:r>
              <w:t>This is outstanding</w:t>
            </w:r>
          </w:p>
        </w:tc>
      </w:tr>
      <w:tr w:rsidR="00EA6EBF" w:rsidTr="5BCC6DA9" w14:paraId="4728249A" w14:textId="77777777">
        <w:tc>
          <w:tcPr>
            <w:tcW w:w="4508" w:type="dxa"/>
            <w:tcMar/>
          </w:tcPr>
          <w:p w:rsidR="00EA6EBF" w:rsidP="008D1198" w:rsidRDefault="00086DFD" w14:paraId="2E0C537B" w14:textId="627CABB1">
            <w:r>
              <w:t xml:space="preserve">No 8 (low) Physical security for shop </w:t>
            </w:r>
            <w:r w:rsidR="00707007">
              <w:t xml:space="preserve">– CCTV in back office </w:t>
            </w:r>
          </w:p>
        </w:tc>
        <w:tc>
          <w:tcPr>
            <w:tcW w:w="4508" w:type="dxa"/>
            <w:tcMar/>
          </w:tcPr>
          <w:p w:rsidR="00EA6EBF" w:rsidP="008D1198" w:rsidRDefault="00F57266" w14:paraId="29EB6901" w14:textId="5F23D481">
            <w:r>
              <w:t xml:space="preserve">This is outstanding (key </w:t>
            </w:r>
            <w:r w:rsidR="00CF1FE9">
              <w:t xml:space="preserve">for back office door </w:t>
            </w:r>
            <w:r>
              <w:t>to be sourced, and assessment to be made about suitability of CCTV</w:t>
            </w:r>
            <w:r w:rsidR="00CF1FE9">
              <w:t>)</w:t>
            </w:r>
          </w:p>
        </w:tc>
      </w:tr>
      <w:tr w:rsidR="00EA6EBF" w:rsidTr="5BCC6DA9" w14:paraId="168013FF" w14:textId="77777777">
        <w:tc>
          <w:tcPr>
            <w:tcW w:w="4508" w:type="dxa"/>
            <w:tcMar/>
          </w:tcPr>
          <w:p w:rsidR="00EA6EBF" w:rsidP="008D1198" w:rsidRDefault="00CF1FE9" w14:paraId="6A110E98" w14:textId="5897D16D">
            <w:r>
              <w:t xml:space="preserve">No 9 </w:t>
            </w:r>
            <w:r w:rsidR="00833DA8">
              <w:t xml:space="preserve">(low) financial procedures </w:t>
            </w:r>
          </w:p>
        </w:tc>
        <w:tc>
          <w:tcPr>
            <w:tcW w:w="4508" w:type="dxa"/>
            <w:tcMar/>
          </w:tcPr>
          <w:p w:rsidR="00EA6EBF" w:rsidP="008D1198" w:rsidRDefault="00870BDD" w14:paraId="2B69D794" w14:textId="31EF18C8">
            <w:r>
              <w:t>Partial completion</w:t>
            </w:r>
            <w:r w:rsidR="001D0EDC">
              <w:t xml:space="preserve"> - Commercial SOP’s have been refreshed and approved by F&amp;R in October 2019, however Financial procedures </w:t>
            </w:r>
            <w:r w:rsidR="00B4016B">
              <w:t>will be reviewed by 28 February 2020</w:t>
            </w:r>
          </w:p>
        </w:tc>
      </w:tr>
      <w:tr w:rsidR="00870BDD" w:rsidTr="5BCC6DA9" w14:paraId="5AE10C8A" w14:textId="77777777">
        <w:tc>
          <w:tcPr>
            <w:tcW w:w="4508" w:type="dxa"/>
            <w:tcMar/>
          </w:tcPr>
          <w:p w:rsidR="00870BDD" w:rsidP="00870BDD" w:rsidRDefault="00870BDD" w14:paraId="5386089C" w14:textId="21590F2A">
            <w:r>
              <w:t xml:space="preserve">No 10 Bank reconciliation </w:t>
            </w:r>
          </w:p>
        </w:tc>
        <w:tc>
          <w:tcPr>
            <w:tcW w:w="4508" w:type="dxa"/>
            <w:tcMar/>
          </w:tcPr>
          <w:p w:rsidR="00870BDD" w:rsidP="00870BDD" w:rsidRDefault="00870BDD" w14:paraId="0F98AF10" w14:textId="77777777">
            <w:r>
              <w:t>Completed by time report was issued</w:t>
            </w:r>
          </w:p>
          <w:p w:rsidR="00870BDD" w:rsidP="00870BDD" w:rsidRDefault="00870BDD" w14:paraId="58053577" w14:textId="779AFAE9"/>
        </w:tc>
      </w:tr>
    </w:tbl>
    <w:p w:rsidR="000F6A18" w:rsidRDefault="000F6A18" w14:paraId="4611360A" w14:textId="664467FB">
      <w:pPr>
        <w:rPr>
          <w:color w:val="FF0000"/>
        </w:rPr>
      </w:pPr>
    </w:p>
    <w:p w:rsidR="00870BDD" w:rsidRDefault="00870BDD" w14:paraId="6955FD98" w14:textId="22EEA243">
      <w:pPr>
        <w:rPr>
          <w:color w:val="FF0000"/>
        </w:rPr>
      </w:pPr>
    </w:p>
    <w:p w:rsidR="00870BDD" w:rsidRDefault="00870BDD" w14:paraId="37D3A95A" w14:textId="77777777">
      <w:pPr>
        <w:rPr>
          <w:color w:val="FF0000"/>
        </w:rPr>
      </w:pPr>
    </w:p>
    <w:p w:rsidRPr="00250B3F" w:rsidR="00250B3F" w:rsidP="000F6A18" w:rsidRDefault="00D97E22" w14:paraId="3CE7F648" w14:textId="77777777">
      <w:pPr>
        <w:spacing w:after="0"/>
      </w:pPr>
      <w:r w:rsidRPr="00250B3F">
        <w:lastRenderedPageBreak/>
        <w:t xml:space="preserve">Appendix </w:t>
      </w:r>
      <w:r w:rsidRPr="00250B3F" w:rsidR="00250B3F">
        <w:t xml:space="preserve">1 </w:t>
      </w:r>
    </w:p>
    <w:p w:rsidRPr="00250B3F" w:rsidR="00250B3F" w:rsidP="000F6A18" w:rsidRDefault="00250B3F" w14:paraId="6B73A820" w14:textId="77777777">
      <w:pPr>
        <w:spacing w:after="0"/>
      </w:pPr>
    </w:p>
    <w:p w:rsidRPr="00250B3F" w:rsidR="00D97E22" w:rsidP="000F6A18" w:rsidRDefault="00D97E22" w14:paraId="79C6B0A5" w14:textId="0F2722ED">
      <w:pPr>
        <w:spacing w:after="0"/>
      </w:pPr>
      <w:r w:rsidRPr="00250B3F">
        <w:t>Pr</w:t>
      </w:r>
      <w:r w:rsidRPr="00250B3F" w:rsidR="00250B3F">
        <w:t>iority Classifications</w:t>
      </w:r>
    </w:p>
    <w:p w:rsidRPr="00250B3F" w:rsidR="00250B3F" w:rsidP="000F6A18" w:rsidRDefault="00250B3F" w14:paraId="7D663F21" w14:textId="77777777">
      <w:pPr>
        <w:spacing w:after="0"/>
      </w:pPr>
    </w:p>
    <w:p w:rsidRPr="00250B3F" w:rsidR="000F6A18" w:rsidP="000F6A18" w:rsidRDefault="000F6A18" w14:paraId="7C9D22AF" w14:textId="4F228149">
      <w:pPr>
        <w:spacing w:after="0"/>
      </w:pPr>
      <w:r w:rsidRPr="00250B3F">
        <w:t>High priorit</w:t>
      </w:r>
      <w:r w:rsidRPr="00250B3F" w:rsidR="00EF376C">
        <w:t>y:</w:t>
      </w:r>
    </w:p>
    <w:p w:rsidRPr="00250B3F" w:rsidR="00556FB6" w:rsidP="00556FB6" w:rsidRDefault="000F6A18" w14:paraId="0DA04CAF" w14:textId="3348961A">
      <w:r w:rsidRPr="00250B3F">
        <w:t>A significant weakness in the system or process which is putting you at serious risk of not achieving your strategic aims and objectives. In particular: significant adverse impact on reputation; non-compliance with key statutory requirements; or substantially raising the likelihood that any of the Trust’s strategic risks will occur. Any recommendations in this category would require immediate attention.</w:t>
      </w:r>
    </w:p>
    <w:p w:rsidRPr="00250B3F" w:rsidR="000F6A18" w:rsidP="00EF376C" w:rsidRDefault="000F6A18" w14:paraId="02B3271C" w14:textId="2DF01179">
      <w:pPr>
        <w:spacing w:after="0"/>
      </w:pPr>
    </w:p>
    <w:p w:rsidRPr="00250B3F" w:rsidR="00EF376C" w:rsidP="00EF376C" w:rsidRDefault="00EF376C" w14:paraId="3A72B3FA" w14:textId="58956B52">
      <w:pPr>
        <w:spacing w:after="0"/>
      </w:pPr>
      <w:r w:rsidRPr="00250B3F">
        <w:t>Medium priority</w:t>
      </w:r>
      <w:r w:rsidRPr="00250B3F">
        <w:t>:</w:t>
      </w:r>
    </w:p>
    <w:p w:rsidRPr="00250B3F" w:rsidR="000F6A18" w:rsidP="00EF376C" w:rsidRDefault="00EF376C" w14:paraId="6DDB208E" w14:textId="532A5ABC">
      <w:pPr>
        <w:spacing w:after="0"/>
      </w:pPr>
      <w:r w:rsidRPr="00250B3F">
        <w:t>A potentially significant or medium level weakness in the system or process which could put you at risk of not achieving your strategic aims and objectives. In particular, having the potential for adverse impact on the Trust’s reputation or for raising the likelihood of the Trust's strategic risks occurring.</w:t>
      </w:r>
    </w:p>
    <w:p w:rsidRPr="00250B3F" w:rsidR="00EF376C" w:rsidP="00EF376C" w:rsidRDefault="00EF376C" w14:paraId="1AE7BE82" w14:textId="47843D65">
      <w:pPr>
        <w:spacing w:after="0"/>
      </w:pPr>
    </w:p>
    <w:p w:rsidRPr="00250B3F" w:rsidR="00EF376C" w:rsidP="00EF376C" w:rsidRDefault="00EF376C" w14:paraId="37342010" w14:textId="29797FBE">
      <w:pPr>
        <w:spacing w:after="0"/>
      </w:pPr>
    </w:p>
    <w:p w:rsidRPr="00250B3F" w:rsidR="00D97E22" w:rsidP="00EF376C" w:rsidRDefault="00D97E22" w14:paraId="7D2FFCDF" w14:textId="2CA4F39C">
      <w:pPr>
        <w:spacing w:after="0"/>
      </w:pPr>
      <w:r w:rsidRPr="00250B3F">
        <w:t>Low priority</w:t>
      </w:r>
      <w:r w:rsidRPr="00250B3F">
        <w:t>:</w:t>
      </w:r>
    </w:p>
    <w:p w:rsidRPr="00250B3F" w:rsidR="00D97E22" w:rsidP="00EF376C" w:rsidRDefault="00D97E22" w14:paraId="35266754" w14:textId="3504F8F0">
      <w:pPr>
        <w:spacing w:after="0"/>
      </w:pPr>
      <w:r w:rsidRPr="00250B3F">
        <w:t xml:space="preserve">Recommendations which could improve the efficiency and/or effectiveness of the system or </w:t>
      </w:r>
      <w:proofErr w:type="gramStart"/>
      <w:r w:rsidRPr="00250B3F">
        <w:t>process</w:t>
      </w:r>
      <w:proofErr w:type="gramEnd"/>
      <w:r w:rsidRPr="00250B3F">
        <w:t xml:space="preserve"> but which are not vital to achieving the Trust’s strategic aims and objectives. These are generally </w:t>
      </w:r>
      <w:proofErr w:type="gramStart"/>
      <w:r w:rsidRPr="00250B3F">
        <w:t>issues</w:t>
      </w:r>
      <w:proofErr w:type="gramEnd"/>
      <w:r w:rsidRPr="00250B3F">
        <w:t xml:space="preserve"> of good practice that the auditors consider would achieve better outcomes.</w:t>
      </w:r>
    </w:p>
    <w:p w:rsidRPr="00B873EB" w:rsidR="00EF376C" w:rsidP="00EF376C" w:rsidRDefault="00EF376C" w14:paraId="5A8FA143" w14:textId="77777777">
      <w:pPr>
        <w:spacing w:after="0"/>
        <w:rPr>
          <w:color w:val="FF0000"/>
        </w:rPr>
      </w:pPr>
    </w:p>
    <w:sectPr w:rsidRPr="00B873EB" w:rsidR="00EF376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68EB"/>
    <w:multiLevelType w:val="hybridMultilevel"/>
    <w:tmpl w:val="DBFE3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752E9"/>
    <w:multiLevelType w:val="hybridMultilevel"/>
    <w:tmpl w:val="9426E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A4FA1"/>
    <w:multiLevelType w:val="hybridMultilevel"/>
    <w:tmpl w:val="8FB6A930"/>
    <w:lvl w:ilvl="0" w:tplc="B69AAB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962139B"/>
    <w:multiLevelType w:val="hybridMultilevel"/>
    <w:tmpl w:val="CDE44962"/>
    <w:lvl w:ilvl="0" w:tplc="12DCE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EB"/>
    <w:rsid w:val="000254E3"/>
    <w:rsid w:val="000802ED"/>
    <w:rsid w:val="00086DFD"/>
    <w:rsid w:val="000B1037"/>
    <w:rsid w:val="000F6A18"/>
    <w:rsid w:val="00113632"/>
    <w:rsid w:val="0012710B"/>
    <w:rsid w:val="001459AF"/>
    <w:rsid w:val="0018722E"/>
    <w:rsid w:val="001D0EDC"/>
    <w:rsid w:val="001F370D"/>
    <w:rsid w:val="002135AF"/>
    <w:rsid w:val="00250B3F"/>
    <w:rsid w:val="002756BF"/>
    <w:rsid w:val="002A3B99"/>
    <w:rsid w:val="002F757C"/>
    <w:rsid w:val="0035582C"/>
    <w:rsid w:val="0036771E"/>
    <w:rsid w:val="00380CC4"/>
    <w:rsid w:val="003C102A"/>
    <w:rsid w:val="003E551A"/>
    <w:rsid w:val="00417277"/>
    <w:rsid w:val="00420499"/>
    <w:rsid w:val="00541CDA"/>
    <w:rsid w:val="005479AF"/>
    <w:rsid w:val="005529D8"/>
    <w:rsid w:val="00556FB6"/>
    <w:rsid w:val="00562938"/>
    <w:rsid w:val="005653D1"/>
    <w:rsid w:val="005E0D5D"/>
    <w:rsid w:val="006237F8"/>
    <w:rsid w:val="006268DA"/>
    <w:rsid w:val="00674241"/>
    <w:rsid w:val="006D100A"/>
    <w:rsid w:val="006F20F5"/>
    <w:rsid w:val="006F49E7"/>
    <w:rsid w:val="006F52B8"/>
    <w:rsid w:val="00707007"/>
    <w:rsid w:val="007247F0"/>
    <w:rsid w:val="007629EF"/>
    <w:rsid w:val="00784722"/>
    <w:rsid w:val="00792AFA"/>
    <w:rsid w:val="007A7CC3"/>
    <w:rsid w:val="007E4AA4"/>
    <w:rsid w:val="007E4E82"/>
    <w:rsid w:val="00823CBC"/>
    <w:rsid w:val="00833DA8"/>
    <w:rsid w:val="00861503"/>
    <w:rsid w:val="00870BDD"/>
    <w:rsid w:val="00897A34"/>
    <w:rsid w:val="008D0F84"/>
    <w:rsid w:val="008D1198"/>
    <w:rsid w:val="00926FC8"/>
    <w:rsid w:val="00934BD8"/>
    <w:rsid w:val="00973209"/>
    <w:rsid w:val="0099259A"/>
    <w:rsid w:val="009E3B12"/>
    <w:rsid w:val="009F167A"/>
    <w:rsid w:val="00A809AA"/>
    <w:rsid w:val="00A91DF3"/>
    <w:rsid w:val="00AE2AB3"/>
    <w:rsid w:val="00AF4C91"/>
    <w:rsid w:val="00B01CAE"/>
    <w:rsid w:val="00B10D7E"/>
    <w:rsid w:val="00B26F90"/>
    <w:rsid w:val="00B4016B"/>
    <w:rsid w:val="00B4061E"/>
    <w:rsid w:val="00B42B55"/>
    <w:rsid w:val="00B71C83"/>
    <w:rsid w:val="00B873EB"/>
    <w:rsid w:val="00BC4DE7"/>
    <w:rsid w:val="00BE2226"/>
    <w:rsid w:val="00C21EE4"/>
    <w:rsid w:val="00C5440A"/>
    <w:rsid w:val="00C6109E"/>
    <w:rsid w:val="00C70A82"/>
    <w:rsid w:val="00CF1FE9"/>
    <w:rsid w:val="00D310FF"/>
    <w:rsid w:val="00D63532"/>
    <w:rsid w:val="00D7307B"/>
    <w:rsid w:val="00D82745"/>
    <w:rsid w:val="00D94818"/>
    <w:rsid w:val="00D96E8A"/>
    <w:rsid w:val="00D97E22"/>
    <w:rsid w:val="00DE537E"/>
    <w:rsid w:val="00E37A95"/>
    <w:rsid w:val="00EA6EBF"/>
    <w:rsid w:val="00EB646D"/>
    <w:rsid w:val="00ED6F54"/>
    <w:rsid w:val="00EF376C"/>
    <w:rsid w:val="00F366F2"/>
    <w:rsid w:val="00F52592"/>
    <w:rsid w:val="00F57266"/>
    <w:rsid w:val="00F95FE4"/>
    <w:rsid w:val="00FE11E6"/>
    <w:rsid w:val="5BCC6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5105"/>
  <w15:chartTrackingRefBased/>
  <w15:docId w15:val="{A181F6A9-7B7B-4E8F-A7CE-EBDDCEC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873E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873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135A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35AF"/>
    <w:rPr>
      <w:rFonts w:ascii="Segoe UI" w:hAnsi="Segoe UI" w:cs="Segoe UI"/>
      <w:sz w:val="18"/>
      <w:szCs w:val="18"/>
    </w:rPr>
  </w:style>
  <w:style w:type="character" w:styleId="normaltextrun" w:customStyle="1">
    <w:name w:val="normaltextrun"/>
    <w:basedOn w:val="DefaultParagraphFont"/>
    <w:rsid w:val="00BE2226"/>
  </w:style>
  <w:style w:type="character" w:styleId="eop" w:customStyle="1">
    <w:name w:val="eop"/>
    <w:basedOn w:val="DefaultParagraphFont"/>
    <w:rsid w:val="00BE2226"/>
  </w:style>
  <w:style w:type="paragraph" w:styleId="ListParagraph">
    <w:name w:val="List Paragraph"/>
    <w:basedOn w:val="Normal"/>
    <w:uiPriority w:val="34"/>
    <w:qFormat/>
    <w:rsid w:val="00187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1344D-2F4E-4966-80CD-F492A18A9116}"/>
</file>

<file path=customXml/itemProps2.xml><?xml version="1.0" encoding="utf-8"?>
<ds:datastoreItem xmlns:ds="http://schemas.openxmlformats.org/officeDocument/2006/customXml" ds:itemID="{048EE4DA-50CE-49A8-BD3C-3566FD71EB4F}"/>
</file>

<file path=customXml/itemProps3.xml><?xml version="1.0" encoding="utf-8"?>
<ds:datastoreItem xmlns:ds="http://schemas.openxmlformats.org/officeDocument/2006/customXml" ds:itemID="{75D1C635-7E2F-4962-A1DE-55B7A72A41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Imperial College London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 Ahmad, Jomana</dc:creator>
  <keywords/>
  <dc:description/>
  <lastModifiedBy>O'Hara, Jarlath H</lastModifiedBy>
  <revision>91</revision>
  <dcterms:created xsi:type="dcterms:W3CDTF">2019-10-24T15:27:00.0000000Z</dcterms:created>
  <dcterms:modified xsi:type="dcterms:W3CDTF">2019-10-30T15:45:36.2351654Z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