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A694EE" w14:textId="77777777" w:rsidR="000802ED" w:rsidRDefault="00B873EB" w:rsidP="00B873EB">
      <w:pPr>
        <w:jc w:val="center"/>
      </w:pPr>
      <w:r w:rsidRPr="00FE5124">
        <w:rPr>
          <w:rFonts w:ascii="Arial" w:hAnsi="Arial" w:cs="Arial"/>
          <w:noProof/>
          <w:lang w:eastAsia="en-GB"/>
        </w:rPr>
        <w:drawing>
          <wp:inline distT="0" distB="0" distL="0" distR="0" wp14:anchorId="44A69505" wp14:editId="44A69506">
            <wp:extent cx="1266825" cy="647700"/>
            <wp:effectExtent l="19050" t="0" r="9525" b="0"/>
            <wp:docPr id="5" name="Picture 1" descr="small_BLACK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mall_BLACK_RGB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4A694EF" w14:textId="77777777" w:rsidR="00B873EB" w:rsidRDefault="00B873EB" w:rsidP="00B873EB">
      <w:pPr>
        <w:pStyle w:val="Default"/>
      </w:pPr>
    </w:p>
    <w:p w14:paraId="44A694F0" w14:textId="77777777" w:rsidR="00B873EB" w:rsidRDefault="00B873EB" w:rsidP="00B873EB">
      <w:pPr>
        <w:jc w:val="center"/>
        <w:rPr>
          <w:b/>
          <w:bCs/>
          <w:sz w:val="28"/>
          <w:szCs w:val="28"/>
        </w:rPr>
      </w:pPr>
      <w:r>
        <w:t xml:space="preserve"> </w:t>
      </w:r>
      <w:r>
        <w:rPr>
          <w:b/>
          <w:bCs/>
          <w:sz w:val="28"/>
          <w:szCs w:val="28"/>
        </w:rPr>
        <w:t xml:space="preserve">Imperial College Union </w:t>
      </w:r>
      <w:r w:rsidR="005529D8">
        <w:rPr>
          <w:b/>
          <w:bCs/>
          <w:sz w:val="28"/>
          <w:szCs w:val="28"/>
        </w:rPr>
        <w:t>Finance and Risk</w:t>
      </w:r>
      <w:r>
        <w:rPr>
          <w:b/>
          <w:bCs/>
          <w:sz w:val="28"/>
          <w:szCs w:val="28"/>
        </w:rPr>
        <w:t xml:space="preserve"> Committee</w:t>
      </w:r>
    </w:p>
    <w:p w14:paraId="44A694F1" w14:textId="0426C8FF" w:rsidR="00B873EB" w:rsidRPr="00FC2CCD" w:rsidRDefault="00B873EB" w:rsidP="00B873EB">
      <w:pPr>
        <w:jc w:val="center"/>
        <w:rPr>
          <w:b/>
          <w:bCs/>
          <w:sz w:val="28"/>
          <w:szCs w:val="28"/>
        </w:rPr>
      </w:pPr>
      <w:r w:rsidRPr="00FC2CCD">
        <w:rPr>
          <w:b/>
          <w:bCs/>
          <w:sz w:val="28"/>
          <w:szCs w:val="28"/>
        </w:rPr>
        <w:t xml:space="preserve">Date </w:t>
      </w:r>
      <w:r w:rsidR="00FC2CCD" w:rsidRPr="00FC2CCD">
        <w:rPr>
          <w:b/>
          <w:bCs/>
          <w:sz w:val="28"/>
          <w:szCs w:val="28"/>
        </w:rPr>
        <w:t>19.06.19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48"/>
        <w:gridCol w:w="4448"/>
      </w:tblGrid>
      <w:tr w:rsidR="00B873EB" w14:paraId="44A694F4" w14:textId="77777777" w:rsidTr="00B873EB">
        <w:trPr>
          <w:trHeight w:val="902"/>
        </w:trPr>
        <w:tc>
          <w:tcPr>
            <w:tcW w:w="4448" w:type="dxa"/>
          </w:tcPr>
          <w:p w14:paraId="44A694F2" w14:textId="77777777" w:rsidR="00B873EB" w:rsidRPr="00B873EB" w:rsidRDefault="00B873EB" w:rsidP="00B873EB">
            <w:pPr>
              <w:rPr>
                <w:b/>
                <w:color w:val="FF0000"/>
                <w:sz w:val="28"/>
                <w:szCs w:val="28"/>
              </w:rPr>
            </w:pPr>
            <w:r w:rsidRPr="00B873EB">
              <w:rPr>
                <w:b/>
                <w:color w:val="000000" w:themeColor="text1"/>
                <w:sz w:val="28"/>
                <w:szCs w:val="28"/>
              </w:rPr>
              <w:t>AGENDA ITEM NO.</w:t>
            </w:r>
          </w:p>
        </w:tc>
        <w:tc>
          <w:tcPr>
            <w:tcW w:w="4448" w:type="dxa"/>
          </w:tcPr>
          <w:p w14:paraId="44A694F3" w14:textId="5EF9890B" w:rsidR="00B873EB" w:rsidRDefault="00FC2CCD" w:rsidP="00B873EB">
            <w:pPr>
              <w:jc w:val="center"/>
              <w:rPr>
                <w:color w:val="FF0000"/>
              </w:rPr>
            </w:pPr>
            <w:r w:rsidRPr="00FC2CCD">
              <w:t>15</w:t>
            </w:r>
          </w:p>
        </w:tc>
      </w:tr>
      <w:tr w:rsidR="00B873EB" w14:paraId="44A694F7" w14:textId="77777777" w:rsidTr="00B873EB">
        <w:trPr>
          <w:trHeight w:val="943"/>
        </w:trPr>
        <w:tc>
          <w:tcPr>
            <w:tcW w:w="4448" w:type="dxa"/>
          </w:tcPr>
          <w:p w14:paraId="44A694F5" w14:textId="77777777" w:rsidR="00B873EB" w:rsidRPr="00B873EB" w:rsidRDefault="00B873EB" w:rsidP="00B873EB">
            <w:pPr>
              <w:rPr>
                <w:b/>
                <w:color w:val="000000" w:themeColor="text1"/>
                <w:sz w:val="28"/>
                <w:szCs w:val="28"/>
              </w:rPr>
            </w:pPr>
            <w:r w:rsidRPr="00B873EB">
              <w:rPr>
                <w:b/>
                <w:color w:val="000000" w:themeColor="text1"/>
                <w:sz w:val="28"/>
                <w:szCs w:val="28"/>
              </w:rPr>
              <w:t>TITLE</w:t>
            </w:r>
          </w:p>
        </w:tc>
        <w:tc>
          <w:tcPr>
            <w:tcW w:w="4448" w:type="dxa"/>
          </w:tcPr>
          <w:p w14:paraId="44A694F6" w14:textId="6608D5A1" w:rsidR="00B873EB" w:rsidRDefault="00FC2CCD" w:rsidP="00B873EB">
            <w:pPr>
              <w:jc w:val="center"/>
              <w:rPr>
                <w:color w:val="FF0000"/>
              </w:rPr>
            </w:pPr>
            <w:r w:rsidRPr="00FC2CCD">
              <w:t>Standard Operational Procedures update</w:t>
            </w:r>
          </w:p>
        </w:tc>
      </w:tr>
      <w:tr w:rsidR="00B873EB" w14:paraId="44A694FA" w14:textId="77777777" w:rsidTr="00B873EB">
        <w:trPr>
          <w:trHeight w:val="902"/>
        </w:trPr>
        <w:tc>
          <w:tcPr>
            <w:tcW w:w="4448" w:type="dxa"/>
          </w:tcPr>
          <w:p w14:paraId="44A694F8" w14:textId="77777777" w:rsidR="00B873EB" w:rsidRPr="00B873EB" w:rsidRDefault="00B873EB" w:rsidP="00B873EB">
            <w:pPr>
              <w:rPr>
                <w:b/>
                <w:color w:val="000000" w:themeColor="text1"/>
                <w:sz w:val="28"/>
                <w:szCs w:val="28"/>
              </w:rPr>
            </w:pPr>
            <w:r w:rsidRPr="00B873EB">
              <w:rPr>
                <w:b/>
                <w:color w:val="000000" w:themeColor="text1"/>
                <w:sz w:val="28"/>
                <w:szCs w:val="28"/>
              </w:rPr>
              <w:t>AUTHOR</w:t>
            </w:r>
          </w:p>
        </w:tc>
        <w:tc>
          <w:tcPr>
            <w:tcW w:w="4448" w:type="dxa"/>
          </w:tcPr>
          <w:p w14:paraId="44A694F9" w14:textId="7BF877B9" w:rsidR="00B873EB" w:rsidRDefault="00FC2CCD" w:rsidP="00B873EB">
            <w:pPr>
              <w:jc w:val="center"/>
              <w:rPr>
                <w:color w:val="FF0000"/>
              </w:rPr>
            </w:pPr>
            <w:r w:rsidRPr="00FC2CCD">
              <w:t>Julia Mattingley</w:t>
            </w:r>
          </w:p>
        </w:tc>
      </w:tr>
      <w:tr w:rsidR="00B873EB" w14:paraId="44A694FD" w14:textId="77777777" w:rsidTr="00B873EB">
        <w:trPr>
          <w:trHeight w:val="943"/>
        </w:trPr>
        <w:tc>
          <w:tcPr>
            <w:tcW w:w="4448" w:type="dxa"/>
          </w:tcPr>
          <w:p w14:paraId="44A694FB" w14:textId="77777777" w:rsidR="00B873EB" w:rsidRPr="00B873EB" w:rsidRDefault="00B873EB" w:rsidP="00B873EB">
            <w:pPr>
              <w:rPr>
                <w:b/>
                <w:color w:val="000000" w:themeColor="text1"/>
                <w:sz w:val="28"/>
                <w:szCs w:val="28"/>
              </w:rPr>
            </w:pPr>
            <w:r w:rsidRPr="00B873EB">
              <w:rPr>
                <w:b/>
                <w:color w:val="000000" w:themeColor="text1"/>
                <w:sz w:val="28"/>
                <w:szCs w:val="28"/>
              </w:rPr>
              <w:t>EXECUTIVE SUMMARY</w:t>
            </w:r>
          </w:p>
        </w:tc>
        <w:tc>
          <w:tcPr>
            <w:tcW w:w="4448" w:type="dxa"/>
          </w:tcPr>
          <w:p w14:paraId="44A694FC" w14:textId="4B8AEB33" w:rsidR="00B873EB" w:rsidRDefault="00F2436F" w:rsidP="00F2436F">
            <w:pPr>
              <w:jc w:val="center"/>
              <w:rPr>
                <w:color w:val="FF0000"/>
              </w:rPr>
            </w:pPr>
            <w:r>
              <w:t>Over the past year t</w:t>
            </w:r>
            <w:r w:rsidR="00A13201" w:rsidRPr="00A13201">
              <w:t xml:space="preserve">he </w:t>
            </w:r>
            <w:r w:rsidR="00A13201">
              <w:t>Commercial</w:t>
            </w:r>
            <w:r>
              <w:t xml:space="preserve"> Services has undergone a number of changes and, as such, the Standard Operational P</w:t>
            </w:r>
            <w:r w:rsidR="00A13201">
              <w:t xml:space="preserve">rocedures </w:t>
            </w:r>
            <w:r>
              <w:t>(SOPs) are in need of revision to reflect current processes. The SOPs are currently in the process of being updated and a full paper with amended processes will be circulated in due course.</w:t>
            </w:r>
          </w:p>
        </w:tc>
      </w:tr>
      <w:tr w:rsidR="00B873EB" w14:paraId="44A69500" w14:textId="77777777" w:rsidTr="00B873EB">
        <w:trPr>
          <w:trHeight w:val="902"/>
        </w:trPr>
        <w:tc>
          <w:tcPr>
            <w:tcW w:w="4448" w:type="dxa"/>
          </w:tcPr>
          <w:p w14:paraId="44A694FE" w14:textId="77777777" w:rsidR="00B873EB" w:rsidRPr="00B873EB" w:rsidRDefault="00B873EB" w:rsidP="00B873EB">
            <w:pPr>
              <w:rPr>
                <w:b/>
                <w:color w:val="000000" w:themeColor="text1"/>
                <w:sz w:val="28"/>
                <w:szCs w:val="28"/>
              </w:rPr>
            </w:pPr>
            <w:r w:rsidRPr="00B873EB">
              <w:rPr>
                <w:b/>
                <w:color w:val="000000" w:themeColor="text1"/>
                <w:sz w:val="28"/>
                <w:szCs w:val="28"/>
              </w:rPr>
              <w:t>PURPOSE</w:t>
            </w:r>
          </w:p>
        </w:tc>
        <w:tc>
          <w:tcPr>
            <w:tcW w:w="4448" w:type="dxa"/>
          </w:tcPr>
          <w:p w14:paraId="44A694FF" w14:textId="0615E62D" w:rsidR="00B873EB" w:rsidRDefault="00FC2CCD" w:rsidP="00B873EB">
            <w:pPr>
              <w:jc w:val="center"/>
              <w:rPr>
                <w:color w:val="FF0000"/>
              </w:rPr>
            </w:pPr>
            <w:r w:rsidRPr="00FC2CCD">
              <w:t>For information</w:t>
            </w:r>
          </w:p>
        </w:tc>
      </w:tr>
      <w:tr w:rsidR="00B873EB" w14:paraId="44A69503" w14:textId="77777777" w:rsidTr="00B873EB">
        <w:trPr>
          <w:trHeight w:val="902"/>
        </w:trPr>
        <w:tc>
          <w:tcPr>
            <w:tcW w:w="4448" w:type="dxa"/>
          </w:tcPr>
          <w:p w14:paraId="44A69501" w14:textId="77777777" w:rsidR="00B873EB" w:rsidRPr="00B873EB" w:rsidRDefault="00B873EB" w:rsidP="00B873EB">
            <w:pPr>
              <w:rPr>
                <w:b/>
                <w:color w:val="000000" w:themeColor="text1"/>
                <w:sz w:val="28"/>
                <w:szCs w:val="28"/>
              </w:rPr>
            </w:pPr>
            <w:r w:rsidRPr="00B873EB">
              <w:rPr>
                <w:b/>
                <w:color w:val="000000" w:themeColor="text1"/>
                <w:sz w:val="28"/>
                <w:szCs w:val="28"/>
              </w:rPr>
              <w:t>DECISION/ACTION REQUIRED</w:t>
            </w:r>
          </w:p>
        </w:tc>
        <w:tc>
          <w:tcPr>
            <w:tcW w:w="4448" w:type="dxa"/>
          </w:tcPr>
          <w:p w14:paraId="44A69502" w14:textId="112C0A77" w:rsidR="00B873EB" w:rsidRDefault="00FC2CCD" w:rsidP="00B873EB">
            <w:pPr>
              <w:jc w:val="center"/>
              <w:rPr>
                <w:color w:val="FF0000"/>
              </w:rPr>
            </w:pPr>
            <w:r w:rsidRPr="00FC2CCD">
              <w:t>None</w:t>
            </w:r>
          </w:p>
        </w:tc>
      </w:tr>
    </w:tbl>
    <w:p w14:paraId="44A69504" w14:textId="77777777" w:rsidR="00B873EB" w:rsidRDefault="00B873EB" w:rsidP="00B873EB">
      <w:pPr>
        <w:jc w:val="center"/>
        <w:rPr>
          <w:color w:val="FF0000"/>
        </w:rPr>
      </w:pPr>
    </w:p>
    <w:p w14:paraId="44936D1F" w14:textId="77777777" w:rsidR="00710A92" w:rsidRDefault="00710A92" w:rsidP="00B873EB">
      <w:pPr>
        <w:jc w:val="center"/>
        <w:rPr>
          <w:color w:val="FF0000"/>
        </w:rPr>
      </w:pPr>
    </w:p>
    <w:p w14:paraId="66CE061E" w14:textId="77777777" w:rsidR="00710A92" w:rsidRDefault="00710A92" w:rsidP="00B873EB">
      <w:pPr>
        <w:jc w:val="center"/>
        <w:rPr>
          <w:color w:val="FF0000"/>
        </w:rPr>
      </w:pPr>
    </w:p>
    <w:p w14:paraId="08CD8E29" w14:textId="77777777" w:rsidR="00710A92" w:rsidRDefault="00710A92" w:rsidP="00B873EB">
      <w:pPr>
        <w:jc w:val="center"/>
        <w:rPr>
          <w:color w:val="FF0000"/>
        </w:rPr>
      </w:pPr>
    </w:p>
    <w:p w14:paraId="50D36587" w14:textId="77777777" w:rsidR="00710A92" w:rsidRDefault="00710A92" w:rsidP="00B873EB">
      <w:pPr>
        <w:jc w:val="center"/>
        <w:rPr>
          <w:color w:val="FF0000"/>
        </w:rPr>
      </w:pPr>
    </w:p>
    <w:p w14:paraId="58EAD371" w14:textId="77777777" w:rsidR="00710A92" w:rsidRDefault="00710A92" w:rsidP="00B873EB">
      <w:pPr>
        <w:jc w:val="center"/>
        <w:rPr>
          <w:color w:val="FF0000"/>
        </w:rPr>
      </w:pPr>
    </w:p>
    <w:p w14:paraId="43BE895E" w14:textId="77777777" w:rsidR="00710A92" w:rsidRDefault="00710A92" w:rsidP="00B873EB">
      <w:pPr>
        <w:jc w:val="center"/>
        <w:rPr>
          <w:color w:val="FF0000"/>
        </w:rPr>
      </w:pPr>
    </w:p>
    <w:p w14:paraId="7FA8A387" w14:textId="77777777" w:rsidR="00710A92" w:rsidRDefault="00710A92" w:rsidP="00B873EB">
      <w:pPr>
        <w:jc w:val="center"/>
        <w:rPr>
          <w:color w:val="FF0000"/>
        </w:rPr>
      </w:pPr>
    </w:p>
    <w:p w14:paraId="4909FAE2" w14:textId="77777777" w:rsidR="00710A92" w:rsidRDefault="00710A92" w:rsidP="00B873EB">
      <w:pPr>
        <w:jc w:val="center"/>
        <w:rPr>
          <w:color w:val="FF0000"/>
        </w:rPr>
      </w:pPr>
    </w:p>
    <w:p w14:paraId="2B6DF08D" w14:textId="77777777" w:rsidR="00F2436F" w:rsidRDefault="00F2436F" w:rsidP="00710A92">
      <w:pPr>
        <w:rPr>
          <w:color w:val="FF0000"/>
        </w:rPr>
      </w:pPr>
    </w:p>
    <w:p w14:paraId="29F34D2B" w14:textId="75E44129" w:rsidR="00710A92" w:rsidRDefault="00710A92" w:rsidP="00710A92">
      <w:pPr>
        <w:rPr>
          <w:u w:val="single"/>
        </w:rPr>
      </w:pPr>
      <w:r w:rsidRPr="00710A92">
        <w:rPr>
          <w:u w:val="single"/>
        </w:rPr>
        <w:t>Background</w:t>
      </w:r>
    </w:p>
    <w:p w14:paraId="7E2446E2" w14:textId="70D261CD" w:rsidR="00A13201" w:rsidRDefault="00710A92" w:rsidP="00710A92">
      <w:r w:rsidRPr="00FC2CCD">
        <w:t>The Commercial Services Standard Operational Procedures</w:t>
      </w:r>
      <w:r w:rsidR="00862F7D">
        <w:t xml:space="preserve"> (SOPs)</w:t>
      </w:r>
      <w:r w:rsidRPr="00FC2CCD">
        <w:t xml:space="preserve"> were </w:t>
      </w:r>
      <w:r w:rsidR="00A13201">
        <w:t xml:space="preserve">created </w:t>
      </w:r>
      <w:r>
        <w:t xml:space="preserve">during the first half of 2018 (calendar year) </w:t>
      </w:r>
      <w:r w:rsidR="00A13201">
        <w:t>to ensure:</w:t>
      </w:r>
    </w:p>
    <w:p w14:paraId="7979F635" w14:textId="7459457C" w:rsidR="00A13201" w:rsidRDefault="00A13201" w:rsidP="00A13201">
      <w:pPr>
        <w:pStyle w:val="ListParagraph"/>
        <w:numPr>
          <w:ilvl w:val="0"/>
          <w:numId w:val="2"/>
        </w:numPr>
      </w:pPr>
      <w:r>
        <w:t xml:space="preserve">Staff awareness regarding how to carry out a procedure </w:t>
      </w:r>
    </w:p>
    <w:p w14:paraId="7C6FDBC0" w14:textId="5F8DFB69" w:rsidR="00A13201" w:rsidRDefault="00A13201" w:rsidP="00A13201">
      <w:pPr>
        <w:pStyle w:val="ListParagraph"/>
        <w:numPr>
          <w:ilvl w:val="0"/>
          <w:numId w:val="2"/>
        </w:numPr>
      </w:pPr>
      <w:r>
        <w:t>Robust controls in place for audit purposes</w:t>
      </w:r>
    </w:p>
    <w:p w14:paraId="728ECA75" w14:textId="57FA0FF4" w:rsidR="00862F7D" w:rsidRDefault="00862F7D" w:rsidP="00A13201">
      <w:pPr>
        <w:pStyle w:val="ListParagraph"/>
        <w:numPr>
          <w:ilvl w:val="0"/>
          <w:numId w:val="2"/>
        </w:numPr>
      </w:pPr>
      <w:r>
        <w:t>Efficiency through standardisation</w:t>
      </w:r>
    </w:p>
    <w:p w14:paraId="3D313536" w14:textId="3B43A5B3" w:rsidR="00A13201" w:rsidRDefault="00862F7D" w:rsidP="00862F7D">
      <w:pPr>
        <w:pStyle w:val="ListParagraph"/>
        <w:numPr>
          <w:ilvl w:val="0"/>
          <w:numId w:val="2"/>
        </w:numPr>
      </w:pPr>
      <w:r w:rsidRPr="00862F7D">
        <w:t>Due diligence defence in the event of something going wrong</w:t>
      </w:r>
    </w:p>
    <w:p w14:paraId="4C8D8DA2" w14:textId="32DA69DA" w:rsidR="00A13201" w:rsidRDefault="00862F7D" w:rsidP="00710A92">
      <w:r>
        <w:t>The SOPs were ratified at the Finance &amp; Risk Committee meeting on the 19</w:t>
      </w:r>
      <w:r w:rsidRPr="00862F7D">
        <w:rPr>
          <w:vertAlign w:val="superscript"/>
        </w:rPr>
        <w:t>th</w:t>
      </w:r>
      <w:r>
        <w:t xml:space="preserve"> of June 2018 and were rolled out across the Commercial Services during July and August. </w:t>
      </w:r>
      <w:r w:rsidR="00F2436F">
        <w:t>Over the past year</w:t>
      </w:r>
      <w:r w:rsidR="00710A92">
        <w:t>, there have been a number of operational changes across Commercial Services which has necessitated the amendment of the procedures</w:t>
      </w:r>
      <w:r>
        <w:t xml:space="preserve"> to reflect current processes</w:t>
      </w:r>
      <w:r w:rsidR="00710A92">
        <w:t>.</w:t>
      </w:r>
    </w:p>
    <w:p w14:paraId="2D389913" w14:textId="77777777" w:rsidR="00F2436F" w:rsidRPr="00F2436F" w:rsidRDefault="00F2436F" w:rsidP="00710A92"/>
    <w:p w14:paraId="6D7F5D23" w14:textId="002D3B19" w:rsidR="00A13201" w:rsidRDefault="00A13201" w:rsidP="00710A92">
      <w:pPr>
        <w:rPr>
          <w:u w:val="single"/>
        </w:rPr>
      </w:pPr>
      <w:r w:rsidRPr="00A13201">
        <w:rPr>
          <w:u w:val="single"/>
        </w:rPr>
        <w:t xml:space="preserve">What </w:t>
      </w:r>
      <w:r>
        <w:rPr>
          <w:u w:val="single"/>
        </w:rPr>
        <w:t>are the Standard Operational Procedures</w:t>
      </w:r>
      <w:r w:rsidRPr="00A13201">
        <w:rPr>
          <w:u w:val="single"/>
        </w:rPr>
        <w:t>?</w:t>
      </w:r>
    </w:p>
    <w:p w14:paraId="04BFACD2" w14:textId="274935B7" w:rsidR="00A13201" w:rsidRPr="00A13201" w:rsidRDefault="00A13201" w:rsidP="00A13201">
      <w:pPr>
        <w:pStyle w:val="ListParagraph"/>
        <w:numPr>
          <w:ilvl w:val="0"/>
          <w:numId w:val="1"/>
        </w:numPr>
      </w:pPr>
      <w:r w:rsidRPr="00A13201">
        <w:t>New supplier set up</w:t>
      </w:r>
    </w:p>
    <w:p w14:paraId="4491C541" w14:textId="3E9E84EC" w:rsidR="00A13201" w:rsidRDefault="00A13201" w:rsidP="00A13201">
      <w:pPr>
        <w:pStyle w:val="ListParagraph"/>
        <w:numPr>
          <w:ilvl w:val="0"/>
          <w:numId w:val="1"/>
        </w:numPr>
      </w:pPr>
      <w:r w:rsidRPr="00A13201">
        <w:t>Ordering goods for resale</w:t>
      </w:r>
    </w:p>
    <w:p w14:paraId="625E2A99" w14:textId="6009E9B6" w:rsidR="00A13201" w:rsidRDefault="00A13201" w:rsidP="00A13201">
      <w:pPr>
        <w:pStyle w:val="ListParagraph"/>
        <w:numPr>
          <w:ilvl w:val="0"/>
          <w:numId w:val="1"/>
        </w:numPr>
      </w:pPr>
      <w:r>
        <w:t>Receipt of goods</w:t>
      </w:r>
    </w:p>
    <w:p w14:paraId="519519C1" w14:textId="007316EB" w:rsidR="00A13201" w:rsidRDefault="00A13201" w:rsidP="00A13201">
      <w:pPr>
        <w:pStyle w:val="ListParagraph"/>
        <w:numPr>
          <w:ilvl w:val="0"/>
          <w:numId w:val="1"/>
        </w:numPr>
      </w:pPr>
      <w:r>
        <w:t>Wastage</w:t>
      </w:r>
    </w:p>
    <w:p w14:paraId="7757DAD5" w14:textId="51C3B756" w:rsidR="00A13201" w:rsidRDefault="00A13201" w:rsidP="00A13201">
      <w:pPr>
        <w:pStyle w:val="ListParagraph"/>
        <w:numPr>
          <w:ilvl w:val="0"/>
          <w:numId w:val="1"/>
        </w:numPr>
      </w:pPr>
      <w:r>
        <w:t>Stocktaking</w:t>
      </w:r>
    </w:p>
    <w:p w14:paraId="5A42DA76" w14:textId="7EBBF51E" w:rsidR="00A13201" w:rsidRDefault="00A13201" w:rsidP="00A13201">
      <w:pPr>
        <w:pStyle w:val="ListParagraph"/>
        <w:numPr>
          <w:ilvl w:val="0"/>
          <w:numId w:val="1"/>
        </w:numPr>
      </w:pPr>
      <w:r>
        <w:t>Cashing-up and cash discrepancies</w:t>
      </w:r>
    </w:p>
    <w:p w14:paraId="5C5D34B5" w14:textId="18B4A2E3" w:rsidR="00A13201" w:rsidRDefault="00A13201" w:rsidP="00A13201">
      <w:pPr>
        <w:pStyle w:val="ListParagraph"/>
        <w:numPr>
          <w:ilvl w:val="0"/>
          <w:numId w:val="1"/>
        </w:numPr>
      </w:pPr>
      <w:r>
        <w:t>Ordering change</w:t>
      </w:r>
    </w:p>
    <w:p w14:paraId="0BB77949" w14:textId="0E2489A9" w:rsidR="00A13201" w:rsidRDefault="00A13201" w:rsidP="00A13201">
      <w:pPr>
        <w:pStyle w:val="ListParagraph"/>
        <w:numPr>
          <w:ilvl w:val="0"/>
          <w:numId w:val="1"/>
        </w:numPr>
      </w:pPr>
      <w:r>
        <w:t>Refunds</w:t>
      </w:r>
    </w:p>
    <w:p w14:paraId="64D9AF3C" w14:textId="67A2DC96" w:rsidR="00A13201" w:rsidRDefault="00A13201" w:rsidP="00A13201">
      <w:pPr>
        <w:pStyle w:val="ListParagraph"/>
        <w:numPr>
          <w:ilvl w:val="0"/>
          <w:numId w:val="1"/>
        </w:numPr>
      </w:pPr>
      <w:r>
        <w:t>Transfer of goods between outlets</w:t>
      </w:r>
    </w:p>
    <w:p w14:paraId="2AC1CB59" w14:textId="78F33D88" w:rsidR="00A13201" w:rsidRDefault="00A13201" w:rsidP="00A13201">
      <w:pPr>
        <w:pStyle w:val="ListParagraph"/>
        <w:numPr>
          <w:ilvl w:val="0"/>
          <w:numId w:val="1"/>
        </w:numPr>
      </w:pPr>
      <w:r>
        <w:t>Voids and over-rings</w:t>
      </w:r>
    </w:p>
    <w:p w14:paraId="6DF55CBA" w14:textId="7A46820D" w:rsidR="00A13201" w:rsidRDefault="00A13201" w:rsidP="00A13201">
      <w:pPr>
        <w:pStyle w:val="ListParagraph"/>
        <w:numPr>
          <w:ilvl w:val="0"/>
          <w:numId w:val="1"/>
        </w:numPr>
      </w:pPr>
      <w:r>
        <w:t>Annual supplier review</w:t>
      </w:r>
    </w:p>
    <w:p w14:paraId="268C9540" w14:textId="6F669435" w:rsidR="00A13201" w:rsidRDefault="00A13201" w:rsidP="00A13201">
      <w:pPr>
        <w:pStyle w:val="ListParagraph"/>
        <w:numPr>
          <w:ilvl w:val="0"/>
          <w:numId w:val="1"/>
        </w:numPr>
      </w:pPr>
      <w:r>
        <w:t>Retail online – return of goods</w:t>
      </w:r>
    </w:p>
    <w:p w14:paraId="44A7AB61" w14:textId="2AD58C1E" w:rsidR="00A13201" w:rsidRDefault="00A13201" w:rsidP="00A13201">
      <w:pPr>
        <w:pStyle w:val="ListParagraph"/>
        <w:numPr>
          <w:ilvl w:val="0"/>
          <w:numId w:val="1"/>
        </w:numPr>
      </w:pPr>
      <w:r>
        <w:t>Retail web sales</w:t>
      </w:r>
    </w:p>
    <w:p w14:paraId="6F552798" w14:textId="77777777" w:rsidR="00F2436F" w:rsidRDefault="00F2436F" w:rsidP="00F2436F"/>
    <w:p w14:paraId="48023EE8" w14:textId="33B20FB7" w:rsidR="00F2436F" w:rsidRDefault="00F2436F" w:rsidP="00F2436F">
      <w:r>
        <w:t>These processes are currently being revised and a full set of SOPs will be circulated shortly.</w:t>
      </w:r>
      <w:bookmarkStart w:id="0" w:name="_GoBack"/>
      <w:bookmarkEnd w:id="0"/>
    </w:p>
    <w:p w14:paraId="4D50ABA4" w14:textId="77777777" w:rsidR="00A13201" w:rsidRDefault="00A13201" w:rsidP="00A13201"/>
    <w:p w14:paraId="2808AE14" w14:textId="7A47128A" w:rsidR="00A13201" w:rsidRPr="00A13201" w:rsidRDefault="00A13201" w:rsidP="00A13201"/>
    <w:sectPr w:rsidR="00A13201" w:rsidRPr="00A132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CD18D1"/>
    <w:multiLevelType w:val="hybridMultilevel"/>
    <w:tmpl w:val="A0C07A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4D5B78"/>
    <w:multiLevelType w:val="hybridMultilevel"/>
    <w:tmpl w:val="ADCCFE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3EB"/>
    <w:rsid w:val="000802ED"/>
    <w:rsid w:val="0035791C"/>
    <w:rsid w:val="005529D8"/>
    <w:rsid w:val="00710A92"/>
    <w:rsid w:val="00823CBC"/>
    <w:rsid w:val="00862F7D"/>
    <w:rsid w:val="00A13201"/>
    <w:rsid w:val="00B873EB"/>
    <w:rsid w:val="00F2436F"/>
    <w:rsid w:val="00FC2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A694EE"/>
  <w15:chartTrackingRefBased/>
  <w15:docId w15:val="{A181F6A9-7B7B-4E8F-A7CE-EBDDCECCC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873E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B873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132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5427089BE2EC43B5C68DD5A31F1834" ma:contentTypeVersion="2" ma:contentTypeDescription="Create a new document." ma:contentTypeScope="" ma:versionID="891652c9c7c4853e4e5cfc860fb96f75">
  <xsd:schema xmlns:xsd="http://www.w3.org/2001/XMLSchema" xmlns:xs="http://www.w3.org/2001/XMLSchema" xmlns:p="http://schemas.microsoft.com/office/2006/metadata/properties" xmlns:ns2="fc71e851-029c-4432-82bb-3ff89f62f0df" targetNamespace="http://schemas.microsoft.com/office/2006/metadata/properties" ma:root="true" ma:fieldsID="523bad91fd8731755997b7b4b4f55548" ns2:_="">
    <xsd:import namespace="fc71e851-029c-4432-82bb-3ff89f62f0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71e851-029c-4432-82bb-3ff89f62f0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ED3A262-AF10-4C06-A202-E7288A3A0465}"/>
</file>

<file path=customXml/itemProps2.xml><?xml version="1.0" encoding="utf-8"?>
<ds:datastoreItem xmlns:ds="http://schemas.openxmlformats.org/officeDocument/2006/customXml" ds:itemID="{80105FB7-17D8-4BA2-B79C-1AA7C4753E45}"/>
</file>

<file path=customXml/itemProps3.xml><?xml version="1.0" encoding="utf-8"?>
<ds:datastoreItem xmlns:ds="http://schemas.openxmlformats.org/officeDocument/2006/customXml" ds:itemID="{5C0C9FBE-BD68-41FA-8B96-26899038E46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Imperial College London</Company>
  <LinksUpToDate>false</LinksUpToDate>
  <CharactersWithSpaces>1653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 Ahmad, Jomana</dc:creator>
  <cp:keywords/>
  <dc:description/>
  <cp:lastModifiedBy>Mattingley, Julia C</cp:lastModifiedBy>
  <cp:revision>2</cp:revision>
  <dcterms:created xsi:type="dcterms:W3CDTF">2019-06-14T16:02:00Z</dcterms:created>
  <dcterms:modified xsi:type="dcterms:W3CDTF">2019-06-14T16:02:00Z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0x010100D95427089BE2EC43B5C68DD5A31F1834</vt:lpwstr>
  </property>
</Properties>
</file>